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666B" w14:textId="77777777" w:rsidR="009916BB" w:rsidRPr="00615DDF" w:rsidRDefault="0028297E" w:rsidP="002C6712">
      <w:pPr>
        <w:jc w:val="center"/>
        <w:rPr>
          <w:rFonts w:cs="Calibri"/>
          <w:b/>
          <w:bCs/>
        </w:rPr>
      </w:pPr>
      <w:r w:rsidRPr="00615DDF">
        <w:rPr>
          <w:rFonts w:cs="Calibri"/>
          <w:b/>
          <w:bCs/>
        </w:rPr>
        <w:t>OZNÁMENÍ O SVOLÁNÍ SCHŮZE VLASTNÍKŮ DLUHOPISŮ</w:t>
      </w:r>
    </w:p>
    <w:p w14:paraId="1FA200F9" w14:textId="77777777" w:rsidR="00192C3B" w:rsidRPr="000203B4" w:rsidRDefault="00192C3B" w:rsidP="00837056">
      <w:pPr>
        <w:jc w:val="center"/>
        <w:rPr>
          <w:rFonts w:cs="Calibri"/>
        </w:rPr>
      </w:pPr>
    </w:p>
    <w:p w14:paraId="250C0BBA" w14:textId="6B237D11" w:rsidR="009916BB" w:rsidRPr="000203B4" w:rsidRDefault="00192C3B" w:rsidP="00837056">
      <w:pPr>
        <w:jc w:val="center"/>
        <w:rPr>
          <w:rFonts w:cs="Calibri"/>
        </w:rPr>
      </w:pPr>
      <w:r w:rsidRPr="000203B4">
        <w:rPr>
          <w:rFonts w:cs="Calibri"/>
        </w:rPr>
        <w:t>Dluhopis</w:t>
      </w:r>
      <w:r w:rsidR="00F86D26" w:rsidRPr="000203B4">
        <w:rPr>
          <w:rFonts w:cs="Calibri"/>
        </w:rPr>
        <w:t xml:space="preserve"> </w:t>
      </w:r>
      <w:bookmarkStart w:id="0" w:name="emise"/>
      <w:r w:rsidR="00F86D26" w:rsidRPr="000203B4">
        <w:rPr>
          <w:rFonts w:cs="Calibri"/>
        </w:rPr>
        <w:t xml:space="preserve">Reality </w:t>
      </w:r>
      <w:proofErr w:type="spellStart"/>
      <w:r w:rsidR="00F86D26" w:rsidRPr="000203B4">
        <w:rPr>
          <w:rFonts w:cs="Calibri"/>
        </w:rPr>
        <w:t>Investing</w:t>
      </w:r>
      <w:proofErr w:type="spellEnd"/>
      <w:r w:rsidR="00F86D26" w:rsidRPr="000203B4">
        <w:rPr>
          <w:rFonts w:cs="Calibri"/>
        </w:rPr>
        <w:t xml:space="preserve"> 2017</w:t>
      </w:r>
      <w:bookmarkEnd w:id="0"/>
    </w:p>
    <w:p w14:paraId="5A2AAC0B" w14:textId="77777777" w:rsidR="009916BB" w:rsidRPr="000203B4" w:rsidRDefault="009916BB" w:rsidP="002C6712">
      <w:pPr>
        <w:rPr>
          <w:rFonts w:cs="Calibri"/>
        </w:rPr>
      </w:pPr>
    </w:p>
    <w:p w14:paraId="32171B28" w14:textId="77777777" w:rsidR="00442E1E" w:rsidRPr="000203B4" w:rsidRDefault="00442E1E" w:rsidP="002C6712">
      <w:pPr>
        <w:rPr>
          <w:rFonts w:cs="Calibri"/>
        </w:rPr>
      </w:pPr>
    </w:p>
    <w:p w14:paraId="3B799C5B" w14:textId="7E38C4B6" w:rsidR="00D13C46" w:rsidRPr="000203B4" w:rsidRDefault="0062104F" w:rsidP="003347E2">
      <w:pPr>
        <w:jc w:val="both"/>
        <w:rPr>
          <w:rFonts w:cs="Calibri"/>
        </w:rPr>
      </w:pPr>
      <w:r w:rsidRPr="000203B4">
        <w:rPr>
          <w:rFonts w:cs="Calibri"/>
          <w:b/>
          <w:bCs/>
        </w:rPr>
        <w:t>HLADKY.LEGAL advokátní kancelář s.r.o.</w:t>
      </w:r>
      <w:r w:rsidR="00AE42DE" w:rsidRPr="000203B4">
        <w:rPr>
          <w:rFonts w:cs="Calibri"/>
          <w:b/>
          <w:bCs/>
        </w:rPr>
        <w:t>,</w:t>
      </w:r>
      <w:r w:rsidR="00AE42DE" w:rsidRPr="000203B4">
        <w:rPr>
          <w:rFonts w:cs="Calibri"/>
        </w:rPr>
        <w:t xml:space="preserve"> </w:t>
      </w:r>
      <w:r w:rsidR="00F02984" w:rsidRPr="000203B4">
        <w:rPr>
          <w:rFonts w:cs="Calibri"/>
        </w:rPr>
        <w:t xml:space="preserve">IČO: </w:t>
      </w:r>
      <w:r w:rsidRPr="000203B4">
        <w:rPr>
          <w:rFonts w:cs="Calibri"/>
        </w:rPr>
        <w:t>05277493</w:t>
      </w:r>
      <w:r w:rsidR="00F02984" w:rsidRPr="000203B4">
        <w:rPr>
          <w:rFonts w:cs="Calibri"/>
        </w:rPr>
        <w:t xml:space="preserve">, </w:t>
      </w:r>
      <w:r w:rsidR="00AE42DE" w:rsidRPr="000203B4">
        <w:rPr>
          <w:rFonts w:cs="Calibri"/>
        </w:rPr>
        <w:t xml:space="preserve">se sídlem </w:t>
      </w:r>
      <w:r w:rsidR="00280384" w:rsidRPr="000203B4">
        <w:rPr>
          <w:rFonts w:cs="Calibri"/>
        </w:rPr>
        <w:t>Orlí 483/1, Brno-město, 602 00 Brno</w:t>
      </w:r>
      <w:r w:rsidR="00E41F9B" w:rsidRPr="000203B4">
        <w:rPr>
          <w:rFonts w:cs="Calibri"/>
        </w:rPr>
        <w:t xml:space="preserve">, společnost zapsaná </w:t>
      </w:r>
      <w:r w:rsidR="0051492E" w:rsidRPr="000203B4">
        <w:rPr>
          <w:rFonts w:cs="Calibri"/>
        </w:rPr>
        <w:t xml:space="preserve">v obchodním rejstříku vedeném </w:t>
      </w:r>
      <w:r w:rsidR="00280384" w:rsidRPr="000203B4">
        <w:rPr>
          <w:rFonts w:cs="Calibri"/>
        </w:rPr>
        <w:t xml:space="preserve">Krajským </w:t>
      </w:r>
      <w:r w:rsidR="0051492E" w:rsidRPr="000203B4">
        <w:rPr>
          <w:rFonts w:cs="Calibri"/>
        </w:rPr>
        <w:t>soudem v </w:t>
      </w:r>
      <w:r w:rsidR="00280384" w:rsidRPr="000203B4">
        <w:rPr>
          <w:rFonts w:cs="Calibri"/>
        </w:rPr>
        <w:t>Brně</w:t>
      </w:r>
      <w:r w:rsidR="0051492E" w:rsidRPr="000203B4">
        <w:rPr>
          <w:rFonts w:cs="Calibri"/>
        </w:rPr>
        <w:t xml:space="preserve"> pod </w:t>
      </w:r>
      <w:proofErr w:type="spellStart"/>
      <w:r w:rsidR="0051492E" w:rsidRPr="000203B4">
        <w:rPr>
          <w:rFonts w:cs="Calibri"/>
        </w:rPr>
        <w:t>sp</w:t>
      </w:r>
      <w:proofErr w:type="spellEnd"/>
      <w:r w:rsidR="0051492E" w:rsidRPr="000203B4">
        <w:rPr>
          <w:rFonts w:cs="Calibri"/>
        </w:rPr>
        <w:t>. zn. C</w:t>
      </w:r>
      <w:r w:rsidR="00482031" w:rsidRPr="000203B4">
        <w:rPr>
          <w:rFonts w:cs="Calibri"/>
        </w:rPr>
        <w:t xml:space="preserve"> </w:t>
      </w:r>
      <w:r w:rsidR="00153DD9" w:rsidRPr="000203B4">
        <w:rPr>
          <w:rFonts w:cs="Calibri"/>
        </w:rPr>
        <w:t>94473</w:t>
      </w:r>
      <w:r w:rsidR="00871ACC" w:rsidRPr="000203B4">
        <w:rPr>
          <w:rFonts w:cs="Calibri"/>
        </w:rPr>
        <w:t xml:space="preserve"> (dále jen „</w:t>
      </w:r>
      <w:r w:rsidR="008A0F17" w:rsidRPr="000203B4">
        <w:rPr>
          <w:rFonts w:cs="Calibri"/>
          <w:b/>
          <w:bCs/>
        </w:rPr>
        <w:t>HLADKY.LEGAL</w:t>
      </w:r>
      <w:r w:rsidR="00871ACC" w:rsidRPr="000203B4">
        <w:rPr>
          <w:rFonts w:cs="Calibri"/>
        </w:rPr>
        <w:t>“</w:t>
      </w:r>
      <w:r w:rsidR="00C23968" w:rsidRPr="000203B4">
        <w:rPr>
          <w:rFonts w:cs="Calibri"/>
        </w:rPr>
        <w:t xml:space="preserve"> nebo „</w:t>
      </w:r>
      <w:r w:rsidR="00C23968" w:rsidRPr="000203B4">
        <w:rPr>
          <w:rFonts w:cs="Calibri"/>
          <w:b/>
          <w:bCs/>
        </w:rPr>
        <w:t>Agent pro zajištění</w:t>
      </w:r>
      <w:r w:rsidR="00C23968" w:rsidRPr="000203B4">
        <w:rPr>
          <w:rFonts w:cs="Calibri"/>
        </w:rPr>
        <w:t>“</w:t>
      </w:r>
      <w:r w:rsidR="00871ACC" w:rsidRPr="000203B4">
        <w:rPr>
          <w:rFonts w:cs="Calibri"/>
        </w:rPr>
        <w:t>)</w:t>
      </w:r>
      <w:r w:rsidR="00482031" w:rsidRPr="000203B4">
        <w:rPr>
          <w:rFonts w:cs="Calibri"/>
        </w:rPr>
        <w:t>, jako</w:t>
      </w:r>
      <w:r w:rsidR="00A00424" w:rsidRPr="000203B4">
        <w:rPr>
          <w:rFonts w:cs="Calibri"/>
        </w:rPr>
        <w:t xml:space="preserve"> vlastník dluhopis</w:t>
      </w:r>
      <w:r w:rsidR="00F40C6D" w:rsidRPr="000203B4">
        <w:rPr>
          <w:rFonts w:cs="Calibri"/>
        </w:rPr>
        <w:t xml:space="preserve">u </w:t>
      </w:r>
      <w:r w:rsidR="00252239" w:rsidRPr="000203B4">
        <w:rPr>
          <w:rFonts w:cs="Calibri"/>
        </w:rPr>
        <w:t xml:space="preserve">níže uvedené </w:t>
      </w:r>
      <w:r w:rsidR="008B2A6C" w:rsidRPr="000203B4">
        <w:rPr>
          <w:rFonts w:cs="Calibri"/>
        </w:rPr>
        <w:t xml:space="preserve">emise </w:t>
      </w:r>
      <w:r w:rsidR="00252239" w:rsidRPr="000203B4">
        <w:rPr>
          <w:rFonts w:cs="Calibri"/>
        </w:rPr>
        <w:t>dluhopisů</w:t>
      </w:r>
      <w:r w:rsidR="001F4AAC" w:rsidRPr="000203B4">
        <w:rPr>
          <w:rFonts w:cs="Calibri"/>
        </w:rPr>
        <w:t xml:space="preserve"> </w:t>
      </w:r>
      <w:r w:rsidR="002D0B63" w:rsidRPr="000203B4">
        <w:rPr>
          <w:rFonts w:cs="Calibri"/>
        </w:rPr>
        <w:t xml:space="preserve">společnosti </w:t>
      </w:r>
      <w:bookmarkStart w:id="1" w:name="emitent"/>
      <w:r w:rsidR="00323729" w:rsidRPr="000203B4">
        <w:rPr>
          <w:rFonts w:cs="Calibri"/>
          <w:b/>
          <w:bCs/>
        </w:rPr>
        <w:t>REALITY INVESTING Bond, a.s.</w:t>
      </w:r>
      <w:bookmarkEnd w:id="1"/>
      <w:r w:rsidR="00B26B68" w:rsidRPr="000203B4">
        <w:rPr>
          <w:rFonts w:cs="Calibri"/>
        </w:rPr>
        <w:t xml:space="preserve">, IČO: </w:t>
      </w:r>
      <w:bookmarkStart w:id="2" w:name="emitent_ICO"/>
      <w:r w:rsidR="00980AD7" w:rsidRPr="000203B4">
        <w:rPr>
          <w:rFonts w:cs="Calibri"/>
        </w:rPr>
        <w:t>02206846</w:t>
      </w:r>
      <w:bookmarkEnd w:id="2"/>
      <w:r w:rsidR="00B26B68" w:rsidRPr="000203B4">
        <w:rPr>
          <w:rFonts w:cs="Calibri"/>
        </w:rPr>
        <w:t xml:space="preserve">, se sídlem Bezová 1658/1, Braník, 147 00 Praha 4, </w:t>
      </w:r>
      <w:r w:rsidR="002D0B63" w:rsidRPr="000203B4">
        <w:rPr>
          <w:rFonts w:cs="Calibri"/>
        </w:rPr>
        <w:t xml:space="preserve">zapsané </w:t>
      </w:r>
      <w:r w:rsidR="00B26B68" w:rsidRPr="000203B4">
        <w:rPr>
          <w:rFonts w:cs="Calibri"/>
        </w:rPr>
        <w:t xml:space="preserve">v obchodním rejstříku vedeném Městským soudem v Praze pod </w:t>
      </w:r>
      <w:proofErr w:type="spellStart"/>
      <w:r w:rsidR="00B26B68" w:rsidRPr="000203B4">
        <w:rPr>
          <w:rFonts w:cs="Calibri"/>
        </w:rPr>
        <w:t>sp</w:t>
      </w:r>
      <w:proofErr w:type="spellEnd"/>
      <w:r w:rsidR="00B26B68" w:rsidRPr="000203B4">
        <w:rPr>
          <w:rFonts w:cs="Calibri"/>
        </w:rPr>
        <w:t xml:space="preserve">. zn. </w:t>
      </w:r>
      <w:bookmarkStart w:id="3" w:name="emitent_spzn"/>
      <w:r w:rsidR="00B26B68" w:rsidRPr="000203B4">
        <w:rPr>
          <w:rFonts w:cs="Calibri"/>
        </w:rPr>
        <w:t>C 257082</w:t>
      </w:r>
      <w:bookmarkEnd w:id="3"/>
      <w:r w:rsidR="00B26B68" w:rsidRPr="000203B4">
        <w:rPr>
          <w:rFonts w:cs="Calibri"/>
        </w:rPr>
        <w:t xml:space="preserve"> </w:t>
      </w:r>
      <w:r w:rsidR="004C6E88" w:rsidRPr="000203B4">
        <w:rPr>
          <w:rFonts w:cs="Calibri"/>
        </w:rPr>
        <w:t>(dále jen „</w:t>
      </w:r>
      <w:r w:rsidR="004C6E88" w:rsidRPr="000203B4">
        <w:rPr>
          <w:rFonts w:cs="Calibri"/>
          <w:b/>
          <w:bCs/>
        </w:rPr>
        <w:t>Emitent</w:t>
      </w:r>
      <w:r w:rsidR="004C6E88" w:rsidRPr="000203B4">
        <w:rPr>
          <w:rFonts w:cs="Calibri"/>
        </w:rPr>
        <w:t>“)</w:t>
      </w:r>
      <w:r w:rsidR="000A5FD9" w:rsidRPr="000203B4">
        <w:rPr>
          <w:rFonts w:cs="Calibri"/>
        </w:rPr>
        <w:t>:</w:t>
      </w:r>
    </w:p>
    <w:p w14:paraId="415C4B89" w14:textId="77777777" w:rsidR="008673A2" w:rsidRPr="000203B4" w:rsidRDefault="008673A2" w:rsidP="008673A2">
      <w:pPr>
        <w:jc w:val="both"/>
        <w:rPr>
          <w:rFonts w:cs="Calibri"/>
        </w:rPr>
      </w:pPr>
    </w:p>
    <w:tbl>
      <w:tblPr>
        <w:tblStyle w:val="TableNormal"/>
        <w:tblW w:w="91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3"/>
        <w:gridCol w:w="6427"/>
      </w:tblGrid>
      <w:tr w:rsidR="00BC38CB" w:rsidRPr="000203B4" w14:paraId="12BF40B6" w14:textId="77777777" w:rsidTr="00C82FA4">
        <w:trPr>
          <w:trHeight w:val="484"/>
        </w:trPr>
        <w:tc>
          <w:tcPr>
            <w:tcW w:w="2763" w:type="dxa"/>
          </w:tcPr>
          <w:p w14:paraId="0CCAAAA7" w14:textId="77777777" w:rsidR="00BC38CB" w:rsidRPr="000203B4" w:rsidRDefault="00BC38CB" w:rsidP="002857D5">
            <w:pPr>
              <w:rPr>
                <w:rFonts w:cs="Calibri"/>
              </w:rPr>
            </w:pPr>
            <w:r w:rsidRPr="000203B4">
              <w:rPr>
                <w:rFonts w:cs="Calibri"/>
              </w:rPr>
              <w:t>Název:</w:t>
            </w:r>
          </w:p>
        </w:tc>
        <w:tc>
          <w:tcPr>
            <w:tcW w:w="6427" w:type="dxa"/>
          </w:tcPr>
          <w:p w14:paraId="0F827F37" w14:textId="13296D46" w:rsidR="00BC38CB" w:rsidRPr="000203B4" w:rsidRDefault="00BC38CB" w:rsidP="002857D5">
            <w:pPr>
              <w:rPr>
                <w:rFonts w:cs="Calibri"/>
              </w:rPr>
            </w:pPr>
            <w:r w:rsidRPr="000203B4">
              <w:rPr>
                <w:rFonts w:cs="Calibri"/>
              </w:rPr>
              <w:t xml:space="preserve">Dluhopis </w:t>
            </w:r>
            <w:r w:rsidR="00F86D26" w:rsidRPr="000203B4">
              <w:rPr>
                <w:rFonts w:cs="Calibri"/>
              </w:rPr>
              <w:fldChar w:fldCharType="begin"/>
            </w:r>
            <w:r w:rsidR="00F86D26" w:rsidRPr="000203B4">
              <w:rPr>
                <w:rFonts w:cs="Calibri"/>
              </w:rPr>
              <w:instrText xml:space="preserve"> REF emise \h </w:instrText>
            </w:r>
            <w:r w:rsidR="00F36919" w:rsidRPr="000203B4">
              <w:rPr>
                <w:rFonts w:cs="Calibri"/>
              </w:rPr>
              <w:instrText xml:space="preserve"> \* MERGEFORMAT </w:instrText>
            </w:r>
            <w:r w:rsidR="00F86D26" w:rsidRPr="000203B4">
              <w:rPr>
                <w:rFonts w:cs="Calibri"/>
              </w:rPr>
            </w:r>
            <w:r w:rsidR="00F86D26" w:rsidRPr="000203B4">
              <w:rPr>
                <w:rFonts w:cs="Calibri"/>
              </w:rPr>
              <w:fldChar w:fldCharType="separate"/>
            </w:r>
            <w:r w:rsidR="00986570" w:rsidRPr="000203B4">
              <w:rPr>
                <w:rFonts w:cs="Calibri"/>
              </w:rPr>
              <w:t xml:space="preserve">Reality </w:t>
            </w:r>
            <w:proofErr w:type="spellStart"/>
            <w:r w:rsidR="00986570" w:rsidRPr="000203B4">
              <w:rPr>
                <w:rFonts w:cs="Calibri"/>
              </w:rPr>
              <w:t>Investing</w:t>
            </w:r>
            <w:proofErr w:type="spellEnd"/>
            <w:r w:rsidR="00986570" w:rsidRPr="000203B4">
              <w:rPr>
                <w:rFonts w:cs="Calibri"/>
              </w:rPr>
              <w:t xml:space="preserve"> 2017</w:t>
            </w:r>
            <w:r w:rsidR="00F86D26" w:rsidRPr="000203B4">
              <w:rPr>
                <w:rFonts w:cs="Calibri"/>
              </w:rPr>
              <w:fldChar w:fldCharType="end"/>
            </w:r>
          </w:p>
        </w:tc>
      </w:tr>
      <w:tr w:rsidR="00F86D26" w:rsidRPr="000203B4" w14:paraId="6FBD4D17" w14:textId="77777777" w:rsidTr="00C82FA4">
        <w:trPr>
          <w:trHeight w:val="484"/>
        </w:trPr>
        <w:tc>
          <w:tcPr>
            <w:tcW w:w="2763" w:type="dxa"/>
          </w:tcPr>
          <w:p w14:paraId="4A918981" w14:textId="2CC37162" w:rsidR="00F86D26" w:rsidRPr="00615DDF" w:rsidRDefault="00F86D26" w:rsidP="002857D5">
            <w:pPr>
              <w:rPr>
                <w:rFonts w:cs="Calibri"/>
              </w:rPr>
            </w:pPr>
            <w:r w:rsidRPr="00615DDF">
              <w:rPr>
                <w:rFonts w:cs="Calibri"/>
              </w:rPr>
              <w:t>ISIN:</w:t>
            </w:r>
          </w:p>
        </w:tc>
        <w:tc>
          <w:tcPr>
            <w:tcW w:w="6427" w:type="dxa"/>
          </w:tcPr>
          <w:p w14:paraId="4C54E40B" w14:textId="0DF2F517" w:rsidR="00F86D26" w:rsidRPr="000203B4" w:rsidRDefault="00C2636A" w:rsidP="002857D5">
            <w:pPr>
              <w:rPr>
                <w:rFonts w:cs="Calibri"/>
              </w:rPr>
            </w:pPr>
            <w:bookmarkStart w:id="4" w:name="ISIN"/>
            <w:r w:rsidRPr="000203B4">
              <w:rPr>
                <w:rFonts w:cs="Calibri"/>
              </w:rPr>
              <w:t>SK4210000952</w:t>
            </w:r>
            <w:bookmarkEnd w:id="4"/>
          </w:p>
        </w:tc>
      </w:tr>
      <w:tr w:rsidR="00BC38CB" w:rsidRPr="000203B4" w14:paraId="2E743AE4" w14:textId="77777777" w:rsidTr="00C82FA4">
        <w:trPr>
          <w:trHeight w:val="484"/>
        </w:trPr>
        <w:tc>
          <w:tcPr>
            <w:tcW w:w="2763" w:type="dxa"/>
          </w:tcPr>
          <w:p w14:paraId="4E2239D1" w14:textId="77777777" w:rsidR="00BC38CB" w:rsidRPr="00615DDF" w:rsidRDefault="00BC38CB" w:rsidP="002857D5">
            <w:pPr>
              <w:rPr>
                <w:rFonts w:cs="Calibri"/>
              </w:rPr>
            </w:pPr>
            <w:r w:rsidRPr="00615DDF">
              <w:rPr>
                <w:rFonts w:cs="Calibri"/>
              </w:rPr>
              <w:t>Datum emise:</w:t>
            </w:r>
          </w:p>
        </w:tc>
        <w:tc>
          <w:tcPr>
            <w:tcW w:w="6427" w:type="dxa"/>
          </w:tcPr>
          <w:p w14:paraId="56090AB7" w14:textId="14ADF555" w:rsidR="00BC38CB" w:rsidRPr="000203B4" w:rsidRDefault="00196071" w:rsidP="00196071">
            <w:pPr>
              <w:rPr>
                <w:rFonts w:cs="Calibri"/>
              </w:rPr>
            </w:pPr>
            <w:r w:rsidRPr="000203B4">
              <w:rPr>
                <w:rFonts w:cs="Calibri"/>
              </w:rPr>
              <w:t>1. září 2017</w:t>
            </w:r>
          </w:p>
        </w:tc>
      </w:tr>
      <w:tr w:rsidR="00C21A30" w:rsidRPr="000203B4" w14:paraId="482E3D66" w14:textId="77777777" w:rsidTr="00C82FA4">
        <w:trPr>
          <w:trHeight w:val="486"/>
        </w:trPr>
        <w:tc>
          <w:tcPr>
            <w:tcW w:w="2763" w:type="dxa"/>
          </w:tcPr>
          <w:p w14:paraId="251E57B2" w14:textId="15A2AD9B" w:rsidR="00C21A30" w:rsidRPr="000203B4" w:rsidRDefault="00600EF7" w:rsidP="002857D5">
            <w:pPr>
              <w:rPr>
                <w:rFonts w:cs="Calibri"/>
              </w:rPr>
            </w:pPr>
            <w:r w:rsidRPr="00615DDF">
              <w:rPr>
                <w:rFonts w:cs="Calibri"/>
              </w:rPr>
              <w:t>Schválení</w:t>
            </w:r>
            <w:r w:rsidRPr="007F1EA9">
              <w:rPr>
                <w:rFonts w:cs="Calibri"/>
              </w:rPr>
              <w:t xml:space="preserve"> </w:t>
            </w:r>
            <w:r w:rsidR="00485D0C" w:rsidRPr="000203B4">
              <w:rPr>
                <w:rFonts w:cs="Calibri"/>
              </w:rPr>
              <w:t>NBS</w:t>
            </w:r>
            <w:r w:rsidRPr="000203B4">
              <w:rPr>
                <w:rFonts w:cs="Calibri"/>
              </w:rPr>
              <w:t>:</w:t>
            </w:r>
          </w:p>
        </w:tc>
        <w:tc>
          <w:tcPr>
            <w:tcW w:w="6427" w:type="dxa"/>
          </w:tcPr>
          <w:p w14:paraId="2AB6ED21" w14:textId="77777777" w:rsidR="00C21A30" w:rsidRPr="000203B4" w:rsidRDefault="00C21A30" w:rsidP="000203B4">
            <w:pPr>
              <w:rPr>
                <w:rFonts w:cs="Calibri"/>
              </w:rPr>
            </w:pPr>
            <w:proofErr w:type="spellStart"/>
            <w:r w:rsidRPr="000203B4">
              <w:rPr>
                <w:rFonts w:cs="Calibri"/>
              </w:rPr>
              <w:t>č.z</w:t>
            </w:r>
            <w:proofErr w:type="spellEnd"/>
            <w:r w:rsidRPr="000203B4">
              <w:rPr>
                <w:rFonts w:cs="Calibri"/>
              </w:rPr>
              <w:t xml:space="preserve">.: 100-000-133-992 k </w:t>
            </w:r>
            <w:proofErr w:type="spellStart"/>
            <w:r w:rsidRPr="000203B4">
              <w:rPr>
                <w:rFonts w:cs="Calibri"/>
              </w:rPr>
              <w:t>č.sp</w:t>
            </w:r>
            <w:proofErr w:type="spellEnd"/>
            <w:r w:rsidRPr="000203B4">
              <w:rPr>
                <w:rFonts w:cs="Calibri"/>
              </w:rPr>
              <w:t>.: NBS1-000-029-850</w:t>
            </w:r>
          </w:p>
          <w:p w14:paraId="18171285" w14:textId="77777777" w:rsidR="00C21A30" w:rsidRPr="00615DDF" w:rsidRDefault="00C21A30" w:rsidP="00B20DDE">
            <w:pPr>
              <w:rPr>
                <w:rFonts w:cs="Calibri"/>
              </w:rPr>
            </w:pPr>
          </w:p>
        </w:tc>
      </w:tr>
      <w:tr w:rsidR="00BC38CB" w:rsidRPr="000203B4" w14:paraId="6BD9AF71" w14:textId="77777777" w:rsidTr="00C82FA4">
        <w:trPr>
          <w:trHeight w:val="486"/>
        </w:trPr>
        <w:tc>
          <w:tcPr>
            <w:tcW w:w="2763" w:type="dxa"/>
          </w:tcPr>
          <w:p w14:paraId="3C040C2E" w14:textId="77777777" w:rsidR="00BC38CB" w:rsidRPr="00615DDF" w:rsidRDefault="00BC38CB" w:rsidP="002857D5">
            <w:pPr>
              <w:rPr>
                <w:rFonts w:cs="Calibri"/>
              </w:rPr>
            </w:pPr>
            <w:r w:rsidRPr="00615DDF">
              <w:rPr>
                <w:rFonts w:cs="Calibri"/>
              </w:rPr>
              <w:t>Jmenovitá hodnota:</w:t>
            </w:r>
          </w:p>
        </w:tc>
        <w:tc>
          <w:tcPr>
            <w:tcW w:w="6427" w:type="dxa"/>
          </w:tcPr>
          <w:p w14:paraId="59FA069F" w14:textId="00783CD8" w:rsidR="00BC38CB" w:rsidRPr="000203B4" w:rsidRDefault="00FA4504" w:rsidP="002857D5">
            <w:pPr>
              <w:rPr>
                <w:rFonts w:cs="Calibri"/>
              </w:rPr>
            </w:pPr>
            <w:r w:rsidRPr="007F1EA9">
              <w:rPr>
                <w:rFonts w:cs="Calibri"/>
              </w:rPr>
              <w:t>30 000 Kč</w:t>
            </w:r>
            <w:r w:rsidRPr="000203B4" w:rsidDel="00FA4504">
              <w:rPr>
                <w:rFonts w:cs="Calibri"/>
              </w:rPr>
              <w:t xml:space="preserve"> </w:t>
            </w:r>
            <w:r w:rsidR="00BC38CB" w:rsidRPr="000203B4">
              <w:rPr>
                <w:rFonts w:cs="Calibri"/>
              </w:rPr>
              <w:t>u každého dluhopisu</w:t>
            </w:r>
          </w:p>
        </w:tc>
      </w:tr>
    </w:tbl>
    <w:p w14:paraId="192C688F" w14:textId="72B84E18" w:rsidR="00D13C46" w:rsidRPr="00615DDF" w:rsidRDefault="00D13C46" w:rsidP="008673A2">
      <w:pPr>
        <w:jc w:val="both"/>
        <w:rPr>
          <w:rFonts w:cs="Calibri"/>
        </w:rPr>
      </w:pPr>
    </w:p>
    <w:p w14:paraId="57B3ECB8" w14:textId="02689368" w:rsidR="00426CEA" w:rsidRPr="000203B4" w:rsidRDefault="00426CEA" w:rsidP="008673A2">
      <w:pPr>
        <w:jc w:val="both"/>
        <w:rPr>
          <w:rFonts w:cs="Calibri"/>
        </w:rPr>
      </w:pPr>
      <w:r w:rsidRPr="00615DDF">
        <w:rPr>
          <w:rFonts w:cs="Calibri"/>
        </w:rPr>
        <w:t>(dále jen „</w:t>
      </w:r>
      <w:r w:rsidRPr="007F1EA9">
        <w:rPr>
          <w:rFonts w:cs="Calibri"/>
          <w:b/>
          <w:bCs/>
        </w:rPr>
        <w:t>Dluhopisy</w:t>
      </w:r>
      <w:r w:rsidRPr="000203B4">
        <w:rPr>
          <w:rFonts w:cs="Calibri"/>
        </w:rPr>
        <w:t>“)</w:t>
      </w:r>
      <w:r w:rsidR="002D0B63" w:rsidRPr="000203B4">
        <w:rPr>
          <w:rFonts w:cs="Calibri"/>
        </w:rPr>
        <w:t>,</w:t>
      </w:r>
    </w:p>
    <w:p w14:paraId="2C8D4695" w14:textId="77777777" w:rsidR="00D13C46" w:rsidRPr="000203B4" w:rsidRDefault="00D13C46" w:rsidP="008673A2">
      <w:pPr>
        <w:jc w:val="both"/>
        <w:rPr>
          <w:rFonts w:cs="Calibri"/>
        </w:rPr>
      </w:pPr>
    </w:p>
    <w:p w14:paraId="5ABABBDD" w14:textId="7304F38D" w:rsidR="00980AD7" w:rsidRPr="000203B4" w:rsidRDefault="00D13C46" w:rsidP="00F2035D">
      <w:pPr>
        <w:jc w:val="both"/>
        <w:rPr>
          <w:rFonts w:cs="Calibri"/>
        </w:rPr>
      </w:pPr>
      <w:r w:rsidRPr="000203B4">
        <w:rPr>
          <w:rFonts w:cs="Calibri"/>
        </w:rPr>
        <w:t xml:space="preserve">tímto </w:t>
      </w:r>
      <w:r w:rsidR="00F2035D" w:rsidRPr="000203B4">
        <w:rPr>
          <w:rFonts w:cs="Calibri"/>
        </w:rPr>
        <w:t>v souladu s č</w:t>
      </w:r>
      <w:r w:rsidR="00692512" w:rsidRPr="000203B4">
        <w:rPr>
          <w:rFonts w:cs="Calibri"/>
        </w:rPr>
        <w:t>ástí</w:t>
      </w:r>
      <w:r w:rsidR="00F2035D" w:rsidRPr="000203B4">
        <w:rPr>
          <w:rFonts w:cs="Calibri"/>
        </w:rPr>
        <w:t xml:space="preserve"> V. </w:t>
      </w:r>
      <w:r w:rsidR="00692512" w:rsidRPr="000203B4">
        <w:rPr>
          <w:rFonts w:cs="Calibri"/>
        </w:rPr>
        <w:t xml:space="preserve">čl. </w:t>
      </w:r>
      <w:r w:rsidR="00F2035D" w:rsidRPr="000203B4">
        <w:rPr>
          <w:rFonts w:cs="Calibri"/>
        </w:rPr>
        <w:t>14</w:t>
      </w:r>
      <w:r w:rsidR="000203B4">
        <w:rPr>
          <w:rFonts w:cs="Calibri"/>
        </w:rPr>
        <w:t xml:space="preserve"> </w:t>
      </w:r>
      <w:r w:rsidR="00F2035D" w:rsidRPr="000203B4">
        <w:rPr>
          <w:rFonts w:cs="Calibri"/>
        </w:rPr>
        <w:t xml:space="preserve">a </w:t>
      </w:r>
      <w:r w:rsidR="00692512" w:rsidRPr="000203B4">
        <w:rPr>
          <w:rFonts w:cs="Calibri"/>
        </w:rPr>
        <w:t xml:space="preserve">čl. </w:t>
      </w:r>
      <w:r w:rsidR="00F2035D" w:rsidRPr="000203B4">
        <w:rPr>
          <w:rFonts w:cs="Calibri"/>
        </w:rPr>
        <w:t>15</w:t>
      </w:r>
      <w:r w:rsidR="00F2035D" w:rsidRPr="00615DDF">
        <w:rPr>
          <w:rFonts w:cs="Calibri"/>
        </w:rPr>
        <w:t xml:space="preserve"> Prospektu cenného papíru sestaveného k 15. 8. 2017</w:t>
      </w:r>
      <w:r w:rsidR="00C65193" w:rsidRPr="00615DDF">
        <w:rPr>
          <w:rFonts w:cs="Calibri"/>
        </w:rPr>
        <w:t xml:space="preserve"> (dále jen „</w:t>
      </w:r>
      <w:r w:rsidR="00C65193" w:rsidRPr="000203B4">
        <w:rPr>
          <w:rFonts w:cs="Calibri"/>
          <w:b/>
          <w:bCs/>
        </w:rPr>
        <w:t>Prospekt</w:t>
      </w:r>
      <w:r w:rsidR="00C65193" w:rsidRPr="000203B4">
        <w:rPr>
          <w:rFonts w:cs="Calibri"/>
        </w:rPr>
        <w:t>“)</w:t>
      </w:r>
      <w:r w:rsidR="00F2035D" w:rsidRPr="000203B4">
        <w:rPr>
          <w:rFonts w:cs="Calibri"/>
        </w:rPr>
        <w:t xml:space="preserve"> a v souladu s ustanovením § 5a odst. 2 zákona č. 530/1990 </w:t>
      </w:r>
      <w:proofErr w:type="spellStart"/>
      <w:r w:rsidR="00F2035D" w:rsidRPr="000203B4">
        <w:rPr>
          <w:rFonts w:cs="Calibri"/>
        </w:rPr>
        <w:t>Zb</w:t>
      </w:r>
      <w:proofErr w:type="spellEnd"/>
      <w:r w:rsidR="00F2035D" w:rsidRPr="000203B4">
        <w:rPr>
          <w:rFonts w:cs="Calibri"/>
        </w:rPr>
        <w:t xml:space="preserve">., o </w:t>
      </w:r>
      <w:proofErr w:type="spellStart"/>
      <w:r w:rsidR="00F2035D" w:rsidRPr="000203B4">
        <w:rPr>
          <w:rFonts w:cs="Calibri"/>
        </w:rPr>
        <w:t>dlhopisoch</w:t>
      </w:r>
      <w:proofErr w:type="spellEnd"/>
      <w:r w:rsidR="00F2035D" w:rsidRPr="000203B4">
        <w:rPr>
          <w:rFonts w:cs="Calibri"/>
        </w:rPr>
        <w:t xml:space="preserve">, ve znění pozdějších předpisů, </w:t>
      </w:r>
    </w:p>
    <w:p w14:paraId="6CB077BE" w14:textId="77777777" w:rsidR="00980AD7" w:rsidRPr="000203B4" w:rsidRDefault="00980AD7" w:rsidP="00F2035D">
      <w:pPr>
        <w:jc w:val="both"/>
        <w:rPr>
          <w:rFonts w:cs="Calibri"/>
        </w:rPr>
      </w:pPr>
    </w:p>
    <w:p w14:paraId="42D97FA5" w14:textId="59A9156A" w:rsidR="00D13C46" w:rsidRPr="000203B4" w:rsidRDefault="00F2035D" w:rsidP="00F2035D">
      <w:pPr>
        <w:jc w:val="both"/>
        <w:rPr>
          <w:rFonts w:cs="Calibri"/>
        </w:rPr>
      </w:pPr>
      <w:r w:rsidRPr="000203B4">
        <w:rPr>
          <w:rFonts w:cs="Calibri"/>
          <w:b/>
          <w:bCs/>
        </w:rPr>
        <w:t>svolává schůzi vlastníků dluhopisů</w:t>
      </w:r>
      <w:r w:rsidRPr="00615DDF">
        <w:rPr>
          <w:rFonts w:cs="Calibri"/>
        </w:rPr>
        <w:t xml:space="preserve"> (dále jen „</w:t>
      </w:r>
      <w:r w:rsidRPr="000203B4">
        <w:rPr>
          <w:rFonts w:cs="Calibri"/>
          <w:b/>
          <w:bCs/>
        </w:rPr>
        <w:t>Schůze</w:t>
      </w:r>
      <w:r w:rsidRPr="00615DDF">
        <w:rPr>
          <w:rFonts w:cs="Calibri"/>
        </w:rPr>
        <w:t>“).</w:t>
      </w:r>
      <w:r w:rsidR="00D13C46" w:rsidRPr="000203B4">
        <w:rPr>
          <w:rFonts w:cs="Calibri"/>
        </w:rPr>
        <w:t xml:space="preserve"> v níže uvedeném termínu</w:t>
      </w:r>
      <w:r w:rsidR="00584593" w:rsidRPr="000203B4">
        <w:rPr>
          <w:rFonts w:cs="Calibri"/>
        </w:rPr>
        <w:t>:</w:t>
      </w:r>
    </w:p>
    <w:p w14:paraId="2D02BBA7" w14:textId="77777777" w:rsidR="00D13C46" w:rsidRPr="000203B4" w:rsidRDefault="00D13C46" w:rsidP="008673A2">
      <w:pPr>
        <w:jc w:val="both"/>
        <w:rPr>
          <w:rFonts w:cs="Calibri"/>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5"/>
        <w:gridCol w:w="6427"/>
      </w:tblGrid>
      <w:tr w:rsidR="00D13C46" w:rsidRPr="000203B4" w14:paraId="333F6AB0" w14:textId="77777777" w:rsidTr="00AF5BCC">
        <w:trPr>
          <w:trHeight w:val="484"/>
        </w:trPr>
        <w:tc>
          <w:tcPr>
            <w:tcW w:w="2635" w:type="dxa"/>
          </w:tcPr>
          <w:p w14:paraId="5CE5BFEC" w14:textId="77777777" w:rsidR="00D13C46" w:rsidRPr="000203B4" w:rsidRDefault="00D13C46" w:rsidP="00AF5BCC">
            <w:pPr>
              <w:rPr>
                <w:rFonts w:cs="Calibri"/>
              </w:rPr>
            </w:pPr>
            <w:r w:rsidRPr="000203B4">
              <w:rPr>
                <w:rFonts w:cs="Calibri"/>
              </w:rPr>
              <w:t>Místo konání Schůze:</w:t>
            </w:r>
          </w:p>
        </w:tc>
        <w:tc>
          <w:tcPr>
            <w:tcW w:w="6427" w:type="dxa"/>
          </w:tcPr>
          <w:p w14:paraId="75009ACC" w14:textId="1759679C" w:rsidR="00D13C46" w:rsidRPr="000203B4" w:rsidRDefault="002F501B">
            <w:pPr>
              <w:rPr>
                <w:rFonts w:cs="Calibri"/>
              </w:rPr>
            </w:pPr>
            <w:r w:rsidRPr="000203B4">
              <w:rPr>
                <w:rFonts w:cs="Calibri"/>
              </w:rPr>
              <w:t xml:space="preserve">Konferenční centrum </w:t>
            </w:r>
            <w:proofErr w:type="spellStart"/>
            <w:r w:rsidRPr="000203B4">
              <w:rPr>
                <w:rFonts w:cs="Calibri"/>
              </w:rPr>
              <w:t>GreenPoint</w:t>
            </w:r>
            <w:proofErr w:type="spellEnd"/>
            <w:r w:rsidRPr="000203B4">
              <w:rPr>
                <w:rFonts w:cs="Calibri"/>
              </w:rPr>
              <w:t>, s. r. o., Dvouletky 529/ 42, 100 00 Praha 10</w:t>
            </w:r>
          </w:p>
        </w:tc>
      </w:tr>
      <w:tr w:rsidR="00D13C46" w:rsidRPr="000203B4" w14:paraId="5FD81C17" w14:textId="77777777" w:rsidTr="00AF5BCC">
        <w:trPr>
          <w:trHeight w:val="794"/>
        </w:trPr>
        <w:tc>
          <w:tcPr>
            <w:tcW w:w="2635" w:type="dxa"/>
          </w:tcPr>
          <w:p w14:paraId="22ECAF0A" w14:textId="77777777" w:rsidR="00D13C46" w:rsidRPr="00615DDF" w:rsidRDefault="00D13C46" w:rsidP="00AF5BCC">
            <w:pPr>
              <w:rPr>
                <w:rFonts w:cs="Calibri"/>
              </w:rPr>
            </w:pPr>
            <w:r w:rsidRPr="00615DDF">
              <w:rPr>
                <w:rFonts w:cs="Calibri"/>
              </w:rPr>
              <w:t>Datum a čas konání Schůze:</w:t>
            </w:r>
          </w:p>
        </w:tc>
        <w:tc>
          <w:tcPr>
            <w:tcW w:w="6427" w:type="dxa"/>
          </w:tcPr>
          <w:p w14:paraId="4A0C95B5" w14:textId="5A145FEC" w:rsidR="00D13C46" w:rsidRPr="00615DDF" w:rsidRDefault="00D705B7" w:rsidP="00AF5BCC">
            <w:pPr>
              <w:rPr>
                <w:rFonts w:cs="Calibri"/>
                <w:b/>
                <w:bCs/>
              </w:rPr>
            </w:pPr>
            <w:bookmarkStart w:id="5" w:name="Datum_cas_schuze"/>
            <w:r w:rsidRPr="000203B4">
              <w:rPr>
                <w:rFonts w:cs="Calibri"/>
                <w:b/>
                <w:bCs/>
              </w:rPr>
              <w:t>21. 10. 2021 v </w:t>
            </w:r>
            <w:bookmarkStart w:id="6" w:name="cas"/>
            <w:r w:rsidRPr="000203B4">
              <w:rPr>
                <w:rFonts w:cs="Calibri"/>
                <w:b/>
                <w:bCs/>
              </w:rPr>
              <w:t>1</w:t>
            </w:r>
            <w:bookmarkEnd w:id="6"/>
            <w:r w:rsidR="00980AD7" w:rsidRPr="000203B4">
              <w:rPr>
                <w:rFonts w:cs="Calibri"/>
                <w:b/>
                <w:bCs/>
              </w:rPr>
              <w:t>6</w:t>
            </w:r>
            <w:r w:rsidRPr="000203B4">
              <w:rPr>
                <w:rFonts w:cs="Calibri"/>
                <w:b/>
                <w:bCs/>
              </w:rPr>
              <w:t xml:space="preserve"> hodin</w:t>
            </w:r>
            <w:bookmarkEnd w:id="5"/>
            <w:r w:rsidRPr="000203B4" w:rsidDel="00D705B7">
              <w:rPr>
                <w:rFonts w:cs="Calibri"/>
                <w:b/>
                <w:bCs/>
              </w:rPr>
              <w:t xml:space="preserve"> </w:t>
            </w:r>
            <w:r w:rsidR="00005A7E" w:rsidRPr="000203B4">
              <w:rPr>
                <w:rFonts w:cs="Calibri"/>
                <w:b/>
                <w:bCs/>
              </w:rPr>
              <w:fldChar w:fldCharType="begin"/>
            </w:r>
            <w:r w:rsidR="00005A7E" w:rsidRPr="000203B4">
              <w:rPr>
                <w:rFonts w:cs="Calibri"/>
                <w:b/>
                <w:bCs/>
              </w:rPr>
              <w:instrText xml:space="preserve"> DOCVARIABLE  "21. 10. 2021 v 14 hodin"  \* MERGEFORMAT </w:instrText>
            </w:r>
            <w:r w:rsidR="00005A7E" w:rsidRPr="000203B4">
              <w:rPr>
                <w:rFonts w:cs="Calibri"/>
                <w:b/>
                <w:bCs/>
              </w:rPr>
              <w:fldChar w:fldCharType="end"/>
            </w:r>
          </w:p>
        </w:tc>
      </w:tr>
      <w:tr w:rsidR="00D13C46" w:rsidRPr="000203B4" w14:paraId="576AC4A0" w14:textId="77777777" w:rsidTr="00AF5BCC">
        <w:trPr>
          <w:trHeight w:val="484"/>
        </w:trPr>
        <w:tc>
          <w:tcPr>
            <w:tcW w:w="2635" w:type="dxa"/>
          </w:tcPr>
          <w:p w14:paraId="00BA884F" w14:textId="77777777" w:rsidR="00D13C46" w:rsidRPr="00615DDF" w:rsidRDefault="00D13C46" w:rsidP="00AF5BCC">
            <w:pPr>
              <w:rPr>
                <w:rFonts w:cs="Calibri"/>
              </w:rPr>
            </w:pPr>
            <w:r w:rsidRPr="00615DDF">
              <w:rPr>
                <w:rFonts w:cs="Calibri"/>
              </w:rPr>
              <w:t>Rozhodný den:</w:t>
            </w:r>
          </w:p>
        </w:tc>
        <w:tc>
          <w:tcPr>
            <w:tcW w:w="6427" w:type="dxa"/>
          </w:tcPr>
          <w:p w14:paraId="0F0BEC09" w14:textId="49DB85DB" w:rsidR="00D13C46" w:rsidRPr="000203B4" w:rsidRDefault="002F6693" w:rsidP="00AF5BCC">
            <w:pPr>
              <w:rPr>
                <w:rFonts w:cs="Calibri"/>
              </w:rPr>
            </w:pPr>
            <w:r w:rsidRPr="000203B4">
              <w:rPr>
                <w:rFonts w:cs="Calibri"/>
              </w:rPr>
              <w:t>14</w:t>
            </w:r>
            <w:r w:rsidR="00E223E1" w:rsidRPr="000203B4">
              <w:rPr>
                <w:rFonts w:cs="Calibri"/>
              </w:rPr>
              <w:t>. 10. 2021</w:t>
            </w:r>
          </w:p>
        </w:tc>
      </w:tr>
    </w:tbl>
    <w:p w14:paraId="36060BAD" w14:textId="77777777" w:rsidR="00442E1E" w:rsidRPr="00615DDF" w:rsidRDefault="00442E1E" w:rsidP="00426CEA">
      <w:pPr>
        <w:rPr>
          <w:rFonts w:cs="Calibri"/>
        </w:rPr>
      </w:pPr>
    </w:p>
    <w:p w14:paraId="20FAAA0A" w14:textId="77777777" w:rsidR="00442E1E" w:rsidRPr="007F1EA9" w:rsidRDefault="00707312" w:rsidP="00707312">
      <w:pPr>
        <w:rPr>
          <w:rFonts w:cs="Calibri"/>
        </w:rPr>
      </w:pPr>
      <w:r w:rsidRPr="00615DDF">
        <w:rPr>
          <w:rFonts w:cs="Calibri"/>
        </w:rPr>
        <w:t xml:space="preserve">Důvodem svolání Schůze je projednání následujícího programu: </w:t>
      </w:r>
    </w:p>
    <w:p w14:paraId="4B5A1255" w14:textId="77777777" w:rsidR="00442E1E" w:rsidRPr="000203B4" w:rsidRDefault="00442E1E" w:rsidP="00426CEA">
      <w:pPr>
        <w:rPr>
          <w:rFonts w:cs="Calibri"/>
        </w:rPr>
      </w:pPr>
    </w:p>
    <w:p w14:paraId="068F49AC" w14:textId="77777777" w:rsidR="00BC780E" w:rsidRPr="000203B4" w:rsidRDefault="00BC780E" w:rsidP="00AF5BCC">
      <w:pPr>
        <w:rPr>
          <w:rFonts w:cs="Calibri"/>
          <w:b/>
          <w:bCs/>
        </w:rPr>
      </w:pPr>
      <w:r w:rsidRPr="000203B4">
        <w:rPr>
          <w:rFonts w:cs="Calibri"/>
          <w:b/>
          <w:bCs/>
        </w:rPr>
        <w:t>Program jednání Schůze:</w:t>
      </w:r>
    </w:p>
    <w:p w14:paraId="4209F7FE" w14:textId="4BE75873" w:rsidR="00BC780E" w:rsidRPr="000203B4" w:rsidRDefault="00BC780E" w:rsidP="00DE0066">
      <w:pPr>
        <w:pStyle w:val="Odstavecseseznamem"/>
        <w:numPr>
          <w:ilvl w:val="0"/>
          <w:numId w:val="3"/>
        </w:numPr>
        <w:rPr>
          <w:rFonts w:cs="Calibri"/>
        </w:rPr>
      </w:pPr>
      <w:r w:rsidRPr="000203B4">
        <w:rPr>
          <w:rFonts w:cs="Calibri"/>
        </w:rPr>
        <w:t>Zahájení, informace o počtu dluhopisů, kontrola účasti, jmenování předsedy Schůze;</w:t>
      </w:r>
    </w:p>
    <w:p w14:paraId="0C51E177" w14:textId="3923F2A6" w:rsidR="00533ACE" w:rsidRPr="000203B4" w:rsidRDefault="00533ACE" w:rsidP="00D238ED">
      <w:pPr>
        <w:pStyle w:val="Odstavecseseznamem"/>
        <w:numPr>
          <w:ilvl w:val="0"/>
          <w:numId w:val="3"/>
        </w:numPr>
        <w:jc w:val="both"/>
        <w:rPr>
          <w:rFonts w:cs="Calibri"/>
        </w:rPr>
      </w:pPr>
      <w:r w:rsidRPr="00615DDF">
        <w:rPr>
          <w:rFonts w:cs="Calibri"/>
        </w:rPr>
        <w:t xml:space="preserve">Informace o </w:t>
      </w:r>
      <w:r w:rsidR="0076217B" w:rsidRPr="00615DDF">
        <w:rPr>
          <w:rFonts w:cs="Calibri"/>
        </w:rPr>
        <w:t>požadavku Agenta pro zajiš</w:t>
      </w:r>
      <w:r w:rsidR="0076217B" w:rsidRPr="007F1EA9">
        <w:rPr>
          <w:rFonts w:cs="Calibri"/>
        </w:rPr>
        <w:t>těn</w:t>
      </w:r>
      <w:r w:rsidR="00FE0B64" w:rsidRPr="000203B4">
        <w:rPr>
          <w:rFonts w:cs="Calibri"/>
        </w:rPr>
        <w:t>í na zřízení zástavního práva</w:t>
      </w:r>
      <w:r w:rsidR="00BE1BED" w:rsidRPr="000203B4">
        <w:rPr>
          <w:rFonts w:cs="Calibri"/>
        </w:rPr>
        <w:t xml:space="preserve"> na nemovitostech tvořících tzv. „Projekt </w:t>
      </w:r>
      <w:r w:rsidR="00073EF4" w:rsidRPr="000203B4">
        <w:rPr>
          <w:rFonts w:cs="Calibri"/>
        </w:rPr>
        <w:t>H</w:t>
      </w:r>
      <w:r w:rsidR="00BE1BED" w:rsidRPr="000203B4">
        <w:rPr>
          <w:rFonts w:cs="Calibri"/>
        </w:rPr>
        <w:t>radská“</w:t>
      </w:r>
      <w:r w:rsidR="00823EB7" w:rsidRPr="000203B4">
        <w:rPr>
          <w:rFonts w:cs="Calibri"/>
        </w:rPr>
        <w:t>;</w:t>
      </w:r>
    </w:p>
    <w:p w14:paraId="137BA112" w14:textId="7277329F" w:rsidR="00BC780E" w:rsidRPr="000203B4" w:rsidRDefault="000203B4" w:rsidP="00D238ED">
      <w:pPr>
        <w:pStyle w:val="Odstavecseseznamem"/>
        <w:numPr>
          <w:ilvl w:val="0"/>
          <w:numId w:val="3"/>
        </w:numPr>
        <w:jc w:val="both"/>
        <w:rPr>
          <w:rFonts w:cs="Calibri"/>
        </w:rPr>
      </w:pPr>
      <w:r>
        <w:rPr>
          <w:rFonts w:cs="Calibri"/>
        </w:rPr>
        <w:t xml:space="preserve">Rozhodnutí o předčasné splatnosti Dluhopisů; </w:t>
      </w:r>
      <w:r w:rsidR="00BC780E" w:rsidRPr="000203B4">
        <w:rPr>
          <w:rFonts w:cs="Calibri"/>
        </w:rPr>
        <w:t xml:space="preserve">Rozhodnutí o pověření společnosti </w:t>
      </w:r>
      <w:r w:rsidR="00F11E05" w:rsidRPr="000203B4">
        <w:rPr>
          <w:rFonts w:cs="Calibri"/>
        </w:rPr>
        <w:t>HLADKY.LEGAL</w:t>
      </w:r>
      <w:r w:rsidR="00BC780E" w:rsidRPr="000203B4">
        <w:rPr>
          <w:rFonts w:cs="Calibri"/>
        </w:rPr>
        <w:t xml:space="preserve">, vykonávající funkci </w:t>
      </w:r>
      <w:r w:rsidR="00413ECF" w:rsidRPr="000203B4">
        <w:rPr>
          <w:rFonts w:cs="Calibri"/>
        </w:rPr>
        <w:t>Agent</w:t>
      </w:r>
      <w:r w:rsidR="00BC780E" w:rsidRPr="000203B4">
        <w:rPr>
          <w:rFonts w:cs="Calibri"/>
        </w:rPr>
        <w:t xml:space="preserve">a pro zajištění, vymáhat </w:t>
      </w:r>
      <w:r w:rsidR="001A1648" w:rsidRPr="000203B4">
        <w:rPr>
          <w:rFonts w:cs="Calibri"/>
        </w:rPr>
        <w:t>dluh</w:t>
      </w:r>
      <w:r w:rsidR="00E13195" w:rsidRPr="000203B4">
        <w:rPr>
          <w:rFonts w:cs="Calibri"/>
        </w:rPr>
        <w:t>y</w:t>
      </w:r>
      <w:r w:rsidR="001A1648" w:rsidRPr="000203B4">
        <w:rPr>
          <w:rFonts w:cs="Calibri"/>
        </w:rPr>
        <w:t xml:space="preserve"> Emitenta, které spočívají v nesplacené jmenovité hodnotě každého Dluhopisu (popřípadě diskontovan</w:t>
      </w:r>
      <w:r w:rsidR="00E13195" w:rsidRPr="000203B4">
        <w:rPr>
          <w:rFonts w:cs="Calibri"/>
        </w:rPr>
        <w:t>é</w:t>
      </w:r>
      <w:r w:rsidR="001A1648" w:rsidRPr="000203B4">
        <w:rPr>
          <w:rFonts w:cs="Calibri"/>
        </w:rPr>
        <w:t xml:space="preserve"> hodnot</w:t>
      </w:r>
      <w:r w:rsidR="00E13195" w:rsidRPr="000203B4">
        <w:rPr>
          <w:rFonts w:cs="Calibri"/>
        </w:rPr>
        <w:t>ě</w:t>
      </w:r>
      <w:r w:rsidR="001A1648" w:rsidRPr="000203B4">
        <w:rPr>
          <w:rFonts w:cs="Calibri"/>
        </w:rPr>
        <w:t xml:space="preserve"> Dluhopisů dle Emisních podmínek) každého Vlastníka dluhopisu (dále jen „</w:t>
      </w:r>
      <w:r w:rsidR="001A1648" w:rsidRPr="000203B4">
        <w:rPr>
          <w:rFonts w:cs="Calibri"/>
          <w:b/>
          <w:bCs/>
        </w:rPr>
        <w:t>Dluhy Emitenta</w:t>
      </w:r>
      <w:r w:rsidR="001A1648" w:rsidRPr="000203B4">
        <w:rPr>
          <w:rFonts w:cs="Calibri"/>
        </w:rPr>
        <w:t>“)</w:t>
      </w:r>
      <w:r w:rsidR="00BC780E" w:rsidRPr="000203B4">
        <w:rPr>
          <w:rFonts w:cs="Calibri"/>
        </w:rPr>
        <w:t xml:space="preserve"> ve prospěch vlastníků Dluhopisů včetně rozhodnutí o způsobu realizace zajištění, jímž jsou zajištěny </w:t>
      </w:r>
      <w:r w:rsidR="005C69B2" w:rsidRPr="000203B4">
        <w:rPr>
          <w:rFonts w:cs="Calibri"/>
        </w:rPr>
        <w:t>d</w:t>
      </w:r>
      <w:r w:rsidR="00BC780E" w:rsidRPr="000203B4">
        <w:rPr>
          <w:rFonts w:cs="Calibri"/>
        </w:rPr>
        <w:t>luhy Emitenta vyplývající z Dluhopisů;</w:t>
      </w:r>
    </w:p>
    <w:p w14:paraId="08DEE232" w14:textId="0AE18877" w:rsidR="00BC780E" w:rsidRPr="000203B4" w:rsidRDefault="00BC780E" w:rsidP="00D238ED">
      <w:pPr>
        <w:pStyle w:val="Odstavecseseznamem"/>
        <w:numPr>
          <w:ilvl w:val="0"/>
          <w:numId w:val="3"/>
        </w:numPr>
        <w:rPr>
          <w:rFonts w:cs="Calibri"/>
        </w:rPr>
      </w:pPr>
      <w:r w:rsidRPr="000203B4">
        <w:rPr>
          <w:rFonts w:cs="Calibri"/>
        </w:rPr>
        <w:t>Závěr.</w:t>
      </w:r>
    </w:p>
    <w:p w14:paraId="2341FC21" w14:textId="4D5AE5AE" w:rsidR="009916BB" w:rsidRPr="000203B4" w:rsidRDefault="009916BB" w:rsidP="002C6712">
      <w:pPr>
        <w:rPr>
          <w:rFonts w:cs="Calibri"/>
        </w:rPr>
      </w:pPr>
    </w:p>
    <w:p w14:paraId="2AAE1BBA" w14:textId="1C1DB12F" w:rsidR="0011647C" w:rsidRPr="000203B4" w:rsidRDefault="0011647C" w:rsidP="0011647C">
      <w:pPr>
        <w:rPr>
          <w:rFonts w:cs="Calibri"/>
          <w:b/>
          <w:bCs/>
        </w:rPr>
      </w:pPr>
      <w:r w:rsidRPr="000203B4">
        <w:rPr>
          <w:rFonts w:cs="Calibri"/>
          <w:b/>
          <w:bCs/>
        </w:rPr>
        <w:lastRenderedPageBreak/>
        <w:t>Informace o organizaci jednání Schůze:</w:t>
      </w:r>
    </w:p>
    <w:p w14:paraId="7B759627" w14:textId="0703316D" w:rsidR="009916BB" w:rsidRPr="000203B4" w:rsidRDefault="0028297E" w:rsidP="004D34F3">
      <w:pPr>
        <w:jc w:val="both"/>
        <w:rPr>
          <w:rFonts w:cs="Calibri"/>
        </w:rPr>
      </w:pPr>
      <w:r w:rsidRPr="000203B4">
        <w:rPr>
          <w:rFonts w:cs="Calibri"/>
        </w:rPr>
        <w:t xml:space="preserve">Prezence vlastníků </w:t>
      </w:r>
      <w:r w:rsidR="008B29F1" w:rsidRPr="000203B4">
        <w:rPr>
          <w:rFonts w:cs="Calibri"/>
        </w:rPr>
        <w:t>D</w:t>
      </w:r>
      <w:r w:rsidRPr="000203B4">
        <w:rPr>
          <w:rFonts w:cs="Calibri"/>
        </w:rPr>
        <w:t xml:space="preserve">luhopisů bude zahájena </w:t>
      </w:r>
      <w:r w:rsidR="004E1DB5" w:rsidRPr="000203B4">
        <w:rPr>
          <w:rFonts w:cs="Calibri"/>
        </w:rPr>
        <w:t xml:space="preserve">dne </w:t>
      </w:r>
      <w:r w:rsidR="007823E1" w:rsidRPr="000203B4">
        <w:rPr>
          <w:rFonts w:cs="Calibri"/>
          <w:b/>
          <w:bCs/>
        </w:rPr>
        <w:t>21</w:t>
      </w:r>
      <w:r w:rsidR="004E1DB5" w:rsidRPr="000203B4">
        <w:rPr>
          <w:rFonts w:cs="Calibri"/>
          <w:b/>
          <w:bCs/>
        </w:rPr>
        <w:t>. 10. 2021 v </w:t>
      </w:r>
      <w:r w:rsidR="001350B2" w:rsidRPr="000203B4">
        <w:rPr>
          <w:rFonts w:cs="Calibri"/>
          <w:b/>
          <w:bCs/>
        </w:rPr>
        <w:t>1</w:t>
      </w:r>
      <w:r w:rsidR="007823E1" w:rsidRPr="000203B4">
        <w:rPr>
          <w:rFonts w:cs="Calibri"/>
          <w:b/>
          <w:bCs/>
        </w:rPr>
        <w:t>5</w:t>
      </w:r>
      <w:r w:rsidR="004E1DB5" w:rsidRPr="000203B4">
        <w:rPr>
          <w:rFonts w:cs="Calibri"/>
          <w:b/>
          <w:bCs/>
        </w:rPr>
        <w:t xml:space="preserve"> hodin</w:t>
      </w:r>
      <w:r w:rsidRPr="000203B4">
        <w:rPr>
          <w:rFonts w:cs="Calibri"/>
        </w:rPr>
        <w:t xml:space="preserve">. Při prezenci se vlastníci </w:t>
      </w:r>
      <w:r w:rsidR="008B29F1" w:rsidRPr="000203B4">
        <w:rPr>
          <w:rFonts w:cs="Calibri"/>
        </w:rPr>
        <w:t>D</w:t>
      </w:r>
      <w:r w:rsidRPr="000203B4">
        <w:rPr>
          <w:rFonts w:cs="Calibri"/>
        </w:rPr>
        <w:t>luhopisů – fyzické osoby prokážou platným občanským průkazem. Osoby jednající za právnickou osobu navíc odevzdají originál či úředně ověřenou kopii dokladu osvědčujícího jejich oprávnění za právnickou osobu jednat, nevyplývá-li toto oprávnění přímo z</w:t>
      </w:r>
      <w:r w:rsidR="00007314" w:rsidRPr="000203B4">
        <w:rPr>
          <w:rFonts w:cs="Calibri"/>
        </w:rPr>
        <w:t xml:space="preserve"> veřejného </w:t>
      </w:r>
      <w:r w:rsidRPr="000203B4">
        <w:rPr>
          <w:rFonts w:cs="Calibri"/>
        </w:rPr>
        <w:t xml:space="preserve">rejstříku. Zástupci vlastníků </w:t>
      </w:r>
      <w:r w:rsidR="008B29F1" w:rsidRPr="000203B4">
        <w:rPr>
          <w:rFonts w:cs="Calibri"/>
        </w:rPr>
        <w:t>D</w:t>
      </w:r>
      <w:r w:rsidRPr="000203B4">
        <w:rPr>
          <w:rFonts w:cs="Calibri"/>
        </w:rPr>
        <w:t xml:space="preserve">luhopisů navíc odevzdají originál či úředně ověřenou kopii písemné plné moci, ze které vyplývá jejich oprávnění zastupovat na Schůzi příslušného vlastníka </w:t>
      </w:r>
      <w:r w:rsidR="008B29F1" w:rsidRPr="000203B4">
        <w:rPr>
          <w:rFonts w:cs="Calibri"/>
        </w:rPr>
        <w:t>D</w:t>
      </w:r>
      <w:r w:rsidRPr="000203B4">
        <w:rPr>
          <w:rFonts w:cs="Calibri"/>
        </w:rPr>
        <w:t>luhopisu.</w:t>
      </w:r>
      <w:r w:rsidR="00D819C6" w:rsidRPr="000203B4">
        <w:rPr>
          <w:rFonts w:cs="Calibri"/>
        </w:rPr>
        <w:t xml:space="preserve"> </w:t>
      </w:r>
      <w:r w:rsidR="0011647C" w:rsidRPr="000203B4">
        <w:rPr>
          <w:rFonts w:cs="Calibri"/>
        </w:rPr>
        <w:t>Lze využít formuláře plné moci, který je přílohou tohoto oznámení.</w:t>
      </w:r>
    </w:p>
    <w:p w14:paraId="33F0C53D" w14:textId="36CB9452" w:rsidR="00430BA1" w:rsidRPr="000203B4" w:rsidRDefault="00430BA1" w:rsidP="004D34F3">
      <w:pPr>
        <w:jc w:val="both"/>
        <w:rPr>
          <w:rFonts w:cs="Calibri"/>
        </w:rPr>
      </w:pPr>
    </w:p>
    <w:p w14:paraId="3B05DB7E" w14:textId="3C41C96C" w:rsidR="00430BA1" w:rsidRPr="000203B4" w:rsidRDefault="00430BA1" w:rsidP="004D34F3">
      <w:pPr>
        <w:jc w:val="both"/>
        <w:rPr>
          <w:rFonts w:cs="Calibri"/>
        </w:rPr>
      </w:pPr>
      <w:r w:rsidRPr="000203B4">
        <w:rPr>
          <w:rFonts w:cs="Calibri"/>
        </w:rPr>
        <w:t xml:space="preserve">Podle čl. 14.2.1 Emisních podmínek </w:t>
      </w:r>
      <w:r w:rsidR="00387873" w:rsidRPr="000203B4">
        <w:rPr>
          <w:rFonts w:cs="Calibri"/>
        </w:rPr>
        <w:t>Dluhopisů</w:t>
      </w:r>
      <w:r w:rsidR="00C65193" w:rsidRPr="000203B4">
        <w:rPr>
          <w:rFonts w:cs="Calibri"/>
        </w:rPr>
        <w:t xml:space="preserve">, které jsou obsahem části V. </w:t>
      </w:r>
      <w:r w:rsidR="002D6785" w:rsidRPr="000203B4">
        <w:rPr>
          <w:rFonts w:cs="Calibri"/>
        </w:rPr>
        <w:t>Prospektu</w:t>
      </w:r>
      <w:r w:rsidR="00387873" w:rsidRPr="000203B4">
        <w:rPr>
          <w:rFonts w:cs="Calibri"/>
        </w:rPr>
        <w:t xml:space="preserve"> (dále jen „</w:t>
      </w:r>
      <w:r w:rsidR="00387873" w:rsidRPr="000203B4">
        <w:rPr>
          <w:rFonts w:cs="Calibri"/>
          <w:b/>
          <w:bCs/>
        </w:rPr>
        <w:t>Emisní podmínky</w:t>
      </w:r>
      <w:r w:rsidR="00387873" w:rsidRPr="000203B4">
        <w:rPr>
          <w:rFonts w:cs="Calibri"/>
        </w:rPr>
        <w:t xml:space="preserve">“) </w:t>
      </w:r>
      <w:r w:rsidRPr="000203B4">
        <w:rPr>
          <w:rFonts w:cs="Calibri"/>
        </w:rPr>
        <w:t>má oprávnění účastnit se Schůze a hlasovat na ní má pouze osoba, která byla vlastníkem dluhopisu sedmý den předcházející den konání Schůze (</w:t>
      </w:r>
      <w:r w:rsidR="00626A0F" w:rsidRPr="000203B4">
        <w:rPr>
          <w:rFonts w:cs="Calibri"/>
        </w:rPr>
        <w:t xml:space="preserve">dále jen </w:t>
      </w:r>
      <w:r w:rsidRPr="000203B4">
        <w:rPr>
          <w:rFonts w:cs="Calibri"/>
        </w:rPr>
        <w:t>„</w:t>
      </w:r>
      <w:r w:rsidRPr="000203B4">
        <w:rPr>
          <w:rFonts w:cs="Calibri"/>
          <w:b/>
          <w:bCs/>
        </w:rPr>
        <w:t>Rozhodný den pro účast na Schůzi</w:t>
      </w:r>
      <w:r w:rsidRPr="000203B4">
        <w:rPr>
          <w:rFonts w:cs="Calibri"/>
        </w:rPr>
        <w:t>“</w:t>
      </w:r>
      <w:r w:rsidRPr="00615DDF">
        <w:rPr>
          <w:rFonts w:cs="Calibri"/>
        </w:rPr>
        <w:t xml:space="preserve">), přičemž příslušná osoba musí být uvedena v seznamu Vlastníku dluhopisů k počátku Rozhodného dne pro účast na Schůzi. K převodům Dluhopisů uskutečněným po Rozhodném dni pro účast na Schůzi se nepřihlíží. </w:t>
      </w:r>
      <w:r w:rsidR="003F3179" w:rsidRPr="000203B4">
        <w:rPr>
          <w:rFonts w:cs="Calibri"/>
        </w:rPr>
        <w:t>K převodům listinných Dluhopisů na jméno oznámeným Emitentovi v průběhu dne konání Schůze se nepřihlíží.</w:t>
      </w:r>
      <w:r w:rsidR="00BB7880" w:rsidRPr="000203B4">
        <w:rPr>
          <w:rFonts w:cs="Calibri"/>
        </w:rPr>
        <w:t xml:space="preserve"> S ohledem na situaci doporučuje</w:t>
      </w:r>
      <w:r w:rsidR="00E03EC3" w:rsidRPr="000203B4">
        <w:rPr>
          <w:rFonts w:cs="Calibri"/>
        </w:rPr>
        <w:t xml:space="preserve"> </w:t>
      </w:r>
      <w:proofErr w:type="spellStart"/>
      <w:r w:rsidR="00E03EC3" w:rsidRPr="000203B4">
        <w:rPr>
          <w:rFonts w:cs="Calibri"/>
        </w:rPr>
        <w:t>svolatel</w:t>
      </w:r>
      <w:proofErr w:type="spellEnd"/>
      <w:r w:rsidR="00E03EC3" w:rsidRPr="000203B4">
        <w:rPr>
          <w:rFonts w:cs="Calibri"/>
        </w:rPr>
        <w:t xml:space="preserve">, aby za účelem odstranění případných pochybností vlastníci byli </w:t>
      </w:r>
      <w:r w:rsidR="00911F1F" w:rsidRPr="000203B4">
        <w:rPr>
          <w:rFonts w:cs="Calibri"/>
        </w:rPr>
        <w:t>schopni při prezenci předložit originál příslušných Dluhopisů (případně hromadných listin Dluhopisy nahrazujících).</w:t>
      </w:r>
    </w:p>
    <w:p w14:paraId="137BB2B4" w14:textId="68AAD435" w:rsidR="00161E5E" w:rsidRPr="000203B4" w:rsidRDefault="00161E5E" w:rsidP="004D34F3">
      <w:pPr>
        <w:jc w:val="both"/>
        <w:rPr>
          <w:rFonts w:cs="Calibri"/>
        </w:rPr>
      </w:pPr>
    </w:p>
    <w:p w14:paraId="7C9BD8AE" w14:textId="7F21F486" w:rsidR="00F27770" w:rsidRPr="000203B4" w:rsidRDefault="00F27770" w:rsidP="004D34F3">
      <w:pPr>
        <w:jc w:val="both"/>
        <w:rPr>
          <w:rFonts w:cs="Calibri"/>
        </w:rPr>
      </w:pPr>
      <w:r w:rsidRPr="000203B4">
        <w:rPr>
          <w:rFonts w:cs="Calibri"/>
        </w:rPr>
        <w:t xml:space="preserve">Agent pro zajištění </w:t>
      </w:r>
      <w:r w:rsidR="005D15AD" w:rsidRPr="000203B4">
        <w:rPr>
          <w:rFonts w:cs="Calibri"/>
        </w:rPr>
        <w:t>při svolání Schůze věřitelů postupuje v souladu se Zákonem o dluhopisech a</w:t>
      </w:r>
      <w:r w:rsidR="00E6723F" w:rsidRPr="000203B4">
        <w:rPr>
          <w:rFonts w:cs="Calibri"/>
        </w:rPr>
        <w:t xml:space="preserve"> Emisními podmínkami</w:t>
      </w:r>
      <w:r w:rsidR="001E0A92" w:rsidRPr="000203B4">
        <w:rPr>
          <w:rFonts w:cs="Calibri"/>
        </w:rPr>
        <w:t xml:space="preserve">. </w:t>
      </w:r>
      <w:r w:rsidR="007A128C" w:rsidRPr="000203B4">
        <w:rPr>
          <w:rFonts w:cs="Calibri"/>
        </w:rPr>
        <w:t xml:space="preserve">V souladu s čl. </w:t>
      </w:r>
      <w:r w:rsidR="009431BB" w:rsidRPr="000203B4">
        <w:rPr>
          <w:rFonts w:cs="Calibri"/>
        </w:rPr>
        <w:t xml:space="preserve">13 </w:t>
      </w:r>
      <w:r w:rsidR="006C3C72" w:rsidRPr="000203B4">
        <w:rPr>
          <w:rFonts w:cs="Calibri"/>
        </w:rPr>
        <w:t>ve spojení s čl.</w:t>
      </w:r>
      <w:r w:rsidR="00FD3A0B" w:rsidRPr="000203B4">
        <w:rPr>
          <w:rFonts w:cs="Calibri"/>
        </w:rPr>
        <w:t xml:space="preserve"> 14.1.3 Emisních podmínek Agent pro </w:t>
      </w:r>
      <w:r w:rsidR="00A249EE" w:rsidRPr="000203B4">
        <w:rPr>
          <w:rFonts w:cs="Calibri"/>
        </w:rPr>
        <w:t xml:space="preserve">zajištění jako </w:t>
      </w:r>
      <w:proofErr w:type="spellStart"/>
      <w:r w:rsidR="00A249EE" w:rsidRPr="000203B4">
        <w:rPr>
          <w:rFonts w:cs="Calibri"/>
        </w:rPr>
        <w:t>svolatel</w:t>
      </w:r>
      <w:proofErr w:type="spellEnd"/>
      <w:r w:rsidR="00A249EE" w:rsidRPr="000203B4">
        <w:rPr>
          <w:rFonts w:cs="Calibri"/>
        </w:rPr>
        <w:t xml:space="preserve"> Schůze poskytl Emitentovi </w:t>
      </w:r>
      <w:r w:rsidR="00DD0F5B" w:rsidRPr="000203B4">
        <w:rPr>
          <w:rFonts w:cs="Calibri"/>
        </w:rPr>
        <w:t xml:space="preserve">informace o svolání této schůze včetně znění tohoto oznámení tak, aby bylo možné jej zveřejnit </w:t>
      </w:r>
      <w:r w:rsidR="006C3C72" w:rsidRPr="000203B4">
        <w:rPr>
          <w:rFonts w:cs="Calibri"/>
        </w:rPr>
        <w:t xml:space="preserve">na webových stránkách Emitenta, </w:t>
      </w:r>
      <w:bookmarkStart w:id="7" w:name="Web_emise"/>
      <w:r w:rsidR="002D6785" w:rsidRPr="000203B4">
        <w:rPr>
          <w:rFonts w:cs="Calibri"/>
        </w:rPr>
        <w:fldChar w:fldCharType="begin"/>
      </w:r>
      <w:r w:rsidR="002D6785" w:rsidRPr="000203B4">
        <w:rPr>
          <w:rFonts w:cs="Calibri"/>
        </w:rPr>
        <w:instrText xml:space="preserve"> HYPERLINK "http://www.realityinvestingbond.cz/" </w:instrText>
      </w:r>
      <w:r w:rsidR="002D6785" w:rsidRPr="000203B4">
        <w:rPr>
          <w:rFonts w:cs="Calibri"/>
        </w:rPr>
        <w:fldChar w:fldCharType="separate"/>
      </w:r>
      <w:r w:rsidR="002D6785" w:rsidRPr="000203B4">
        <w:rPr>
          <w:rStyle w:val="Hypertextovodkaz"/>
          <w:rFonts w:cs="Calibri"/>
        </w:rPr>
        <w:t>http://www.realityinvestingbond.cz/</w:t>
      </w:r>
      <w:r w:rsidR="002D6785" w:rsidRPr="000203B4">
        <w:rPr>
          <w:rFonts w:cs="Calibri"/>
        </w:rPr>
        <w:fldChar w:fldCharType="end"/>
      </w:r>
      <w:r w:rsidR="002D6785" w:rsidRPr="00615DDF">
        <w:rPr>
          <w:rFonts w:cs="Calibri"/>
        </w:rPr>
        <w:t xml:space="preserve"> </w:t>
      </w:r>
      <w:bookmarkEnd w:id="7"/>
      <w:r w:rsidR="00040A35" w:rsidRPr="00615DDF">
        <w:rPr>
          <w:rFonts w:cs="Calibri"/>
        </w:rPr>
        <w:t xml:space="preserve"> </w:t>
      </w:r>
      <w:r w:rsidR="006C3C72" w:rsidRPr="00615DDF">
        <w:rPr>
          <w:rFonts w:cs="Calibri"/>
        </w:rPr>
        <w:t>v části, v ní</w:t>
      </w:r>
      <w:r w:rsidR="006C3C72" w:rsidRPr="007F1EA9">
        <w:rPr>
          <w:rFonts w:cs="Calibri"/>
        </w:rPr>
        <w:t>ž Emitent uveřejňuje informace o jím vydávaných dluhopisech</w:t>
      </w:r>
      <w:r w:rsidR="00DD0F5B" w:rsidRPr="000203B4">
        <w:rPr>
          <w:rFonts w:cs="Calibri"/>
        </w:rPr>
        <w:t>.</w:t>
      </w:r>
    </w:p>
    <w:p w14:paraId="2E7C4BF6" w14:textId="6D0078B4" w:rsidR="00DD0F5B" w:rsidRPr="000203B4" w:rsidRDefault="00DD0F5B" w:rsidP="004D34F3">
      <w:pPr>
        <w:jc w:val="both"/>
        <w:rPr>
          <w:rFonts w:cs="Calibri"/>
        </w:rPr>
      </w:pPr>
    </w:p>
    <w:p w14:paraId="46238501" w14:textId="43E61459" w:rsidR="00DD0F5B" w:rsidRPr="000203B4" w:rsidRDefault="00DD0F5B" w:rsidP="004D34F3">
      <w:pPr>
        <w:jc w:val="both"/>
        <w:rPr>
          <w:rFonts w:cs="Calibri"/>
        </w:rPr>
      </w:pPr>
      <w:r w:rsidRPr="000203B4">
        <w:rPr>
          <w:rFonts w:cs="Calibri"/>
        </w:rPr>
        <w:t xml:space="preserve">Agent pro zajištění dále </w:t>
      </w:r>
      <w:r w:rsidR="00525CE8" w:rsidRPr="000203B4">
        <w:rPr>
          <w:rFonts w:cs="Calibri"/>
        </w:rPr>
        <w:t xml:space="preserve">zřídil webové stránky </w:t>
      </w:r>
      <w:hyperlink r:id="rId8" w:history="1">
        <w:r w:rsidR="00CA0FCA" w:rsidRPr="000203B4">
          <w:rPr>
            <w:rStyle w:val="Hypertextovodkaz"/>
            <w:rFonts w:cs="Calibri"/>
          </w:rPr>
          <w:t>http://www.ri-dluhopisy.cz</w:t>
        </w:r>
      </w:hyperlink>
      <w:r w:rsidR="00CA0FCA" w:rsidRPr="00615DDF">
        <w:rPr>
          <w:rFonts w:cs="Calibri"/>
        </w:rPr>
        <w:t xml:space="preserve">, na kterých budou </w:t>
      </w:r>
      <w:r w:rsidR="00884B87" w:rsidRPr="007F1EA9">
        <w:rPr>
          <w:rFonts w:cs="Calibri"/>
        </w:rPr>
        <w:t>průběžně</w:t>
      </w:r>
      <w:r w:rsidR="00CA0FCA" w:rsidRPr="000203B4">
        <w:rPr>
          <w:rFonts w:cs="Calibri"/>
        </w:rPr>
        <w:t xml:space="preserve"> zveřejňovány informace Agenta pro zajištění, včetně veškerých podkladů ohledně Schůze. </w:t>
      </w:r>
    </w:p>
    <w:p w14:paraId="43E8B5ED" w14:textId="18D5922B" w:rsidR="00432809" w:rsidRPr="000203B4" w:rsidRDefault="00432809" w:rsidP="004D34F3">
      <w:pPr>
        <w:jc w:val="both"/>
        <w:rPr>
          <w:rFonts w:cs="Calibri"/>
        </w:rPr>
      </w:pPr>
    </w:p>
    <w:p w14:paraId="5447C589" w14:textId="77777777" w:rsidR="005632E6" w:rsidRPr="000203B4" w:rsidRDefault="006431EF" w:rsidP="004D34F3">
      <w:pPr>
        <w:jc w:val="both"/>
        <w:rPr>
          <w:rFonts w:cs="Calibri"/>
        </w:rPr>
      </w:pPr>
      <w:r w:rsidRPr="000203B4">
        <w:rPr>
          <w:rFonts w:cs="Calibri"/>
        </w:rPr>
        <w:t>Přílohou tohoto oznámení jsou</w:t>
      </w:r>
      <w:r w:rsidR="005632E6" w:rsidRPr="000203B4">
        <w:rPr>
          <w:rFonts w:cs="Calibri"/>
        </w:rPr>
        <w:t>:</w:t>
      </w:r>
    </w:p>
    <w:p w14:paraId="54554C2B" w14:textId="4C5F5FE9" w:rsidR="006431EF" w:rsidRPr="000203B4" w:rsidRDefault="005632E6" w:rsidP="005632E6">
      <w:pPr>
        <w:pStyle w:val="Odstavecseseznamem"/>
        <w:numPr>
          <w:ilvl w:val="0"/>
          <w:numId w:val="8"/>
        </w:numPr>
        <w:jc w:val="both"/>
        <w:rPr>
          <w:rFonts w:cs="Calibri"/>
        </w:rPr>
      </w:pPr>
      <w:r w:rsidRPr="000203B4">
        <w:rPr>
          <w:rFonts w:cs="Calibri"/>
        </w:rPr>
        <w:t>oznámení a návrhy usnesení k jednotlivým bodům pořadu jednání Schůze</w:t>
      </w:r>
      <w:r w:rsidR="00AE2D0A" w:rsidRPr="000203B4">
        <w:rPr>
          <w:rFonts w:cs="Calibri"/>
        </w:rPr>
        <w:t>, včetně jejich odůvodnění</w:t>
      </w:r>
    </w:p>
    <w:p w14:paraId="57B2F1EE" w14:textId="259423DB" w:rsidR="005632E6" w:rsidRPr="000203B4" w:rsidRDefault="005632E6" w:rsidP="00DE66A0">
      <w:pPr>
        <w:pStyle w:val="Odstavecseseznamem"/>
        <w:numPr>
          <w:ilvl w:val="0"/>
          <w:numId w:val="8"/>
        </w:numPr>
        <w:jc w:val="both"/>
        <w:rPr>
          <w:rFonts w:cs="Calibri"/>
        </w:rPr>
      </w:pPr>
      <w:r w:rsidRPr="000203B4">
        <w:rPr>
          <w:rFonts w:cs="Calibri"/>
        </w:rPr>
        <w:t>vzorové znění plné moci pro zastupování na Schůzi.</w:t>
      </w:r>
    </w:p>
    <w:p w14:paraId="3BE61BD6" w14:textId="77777777" w:rsidR="006431EF" w:rsidRPr="000203B4" w:rsidRDefault="006431EF" w:rsidP="006431EF">
      <w:pPr>
        <w:rPr>
          <w:rFonts w:cs="Calibri"/>
        </w:rPr>
      </w:pPr>
    </w:p>
    <w:p w14:paraId="05C6AB26" w14:textId="2F2E43BA" w:rsidR="006431EF" w:rsidRPr="000203B4" w:rsidRDefault="006431EF" w:rsidP="006431EF">
      <w:pPr>
        <w:rPr>
          <w:rFonts w:cs="Calibri"/>
        </w:rPr>
      </w:pPr>
      <w:r w:rsidRPr="000203B4">
        <w:rPr>
          <w:rFonts w:cs="Calibri"/>
        </w:rPr>
        <w:t xml:space="preserve">V Praze dne </w:t>
      </w:r>
      <w:r w:rsidR="006C35F5" w:rsidRPr="000203B4">
        <w:rPr>
          <w:rFonts w:cs="Calibri"/>
        </w:rPr>
        <w:t>2</w:t>
      </w:r>
      <w:r w:rsidR="00275954">
        <w:rPr>
          <w:rFonts w:cs="Calibri"/>
        </w:rPr>
        <w:t>1</w:t>
      </w:r>
      <w:r w:rsidR="006C35F5" w:rsidRPr="000203B4">
        <w:rPr>
          <w:rFonts w:cs="Calibri"/>
        </w:rPr>
        <w:t xml:space="preserve">. </w:t>
      </w:r>
      <w:r w:rsidR="005D60C3" w:rsidRPr="000203B4">
        <w:rPr>
          <w:rFonts w:cs="Calibri"/>
        </w:rPr>
        <w:t>9.</w:t>
      </w:r>
      <w:r w:rsidRPr="000203B4">
        <w:rPr>
          <w:rFonts w:cs="Calibri"/>
        </w:rPr>
        <w:t xml:space="preserve"> 2021</w:t>
      </w:r>
    </w:p>
    <w:p w14:paraId="31A09271" w14:textId="77777777" w:rsidR="006431EF" w:rsidRPr="000203B4" w:rsidRDefault="006431EF" w:rsidP="006431EF">
      <w:pPr>
        <w:rPr>
          <w:rFonts w:cs="Calibri"/>
        </w:rPr>
      </w:pPr>
    </w:p>
    <w:p w14:paraId="781ED762" w14:textId="77777777" w:rsidR="006431EF" w:rsidRPr="000203B4" w:rsidRDefault="006431EF" w:rsidP="006431EF">
      <w:pPr>
        <w:rPr>
          <w:rFonts w:cs="Calibri"/>
        </w:rPr>
      </w:pPr>
    </w:p>
    <w:p w14:paraId="5239BEBD" w14:textId="77777777" w:rsidR="006431EF" w:rsidRPr="000203B4" w:rsidRDefault="006431EF" w:rsidP="006431EF">
      <w:pPr>
        <w:rPr>
          <w:rFonts w:cs="Calibri"/>
        </w:rPr>
      </w:pPr>
    </w:p>
    <w:p w14:paraId="0C57477C" w14:textId="77777777" w:rsidR="006431EF" w:rsidRPr="000203B4" w:rsidRDefault="006431EF" w:rsidP="006431EF">
      <w:pPr>
        <w:rPr>
          <w:rFonts w:cs="Calibri"/>
        </w:rPr>
      </w:pPr>
    </w:p>
    <w:p w14:paraId="0B5E05F7" w14:textId="77777777" w:rsidR="006431EF" w:rsidRPr="000203B4" w:rsidRDefault="006431EF" w:rsidP="006431EF">
      <w:pPr>
        <w:rPr>
          <w:rFonts w:cs="Calibri"/>
        </w:rPr>
      </w:pPr>
      <w:r w:rsidRPr="000203B4">
        <w:rPr>
          <w:rFonts w:cs="Calibri"/>
        </w:rPr>
        <w:t>__________________________</w:t>
      </w:r>
    </w:p>
    <w:p w14:paraId="311784C3" w14:textId="34D65346" w:rsidR="006431EF" w:rsidRPr="000203B4" w:rsidRDefault="00F9470D" w:rsidP="006431EF">
      <w:pPr>
        <w:rPr>
          <w:rFonts w:cs="Calibri"/>
          <w:b/>
          <w:bCs/>
        </w:rPr>
      </w:pPr>
      <w:r w:rsidRPr="000203B4">
        <w:rPr>
          <w:rFonts w:cs="Calibri"/>
          <w:b/>
          <w:bCs/>
        </w:rPr>
        <w:t>HLADKY.LEGAL advokátní kancelář s.r.o.</w:t>
      </w:r>
    </w:p>
    <w:p w14:paraId="6E4CF0DF" w14:textId="0CB99DDF" w:rsidR="006431EF" w:rsidRPr="000203B4" w:rsidRDefault="00F9470D" w:rsidP="006431EF">
      <w:pPr>
        <w:rPr>
          <w:rFonts w:cs="Calibri"/>
        </w:rPr>
      </w:pPr>
      <w:r w:rsidRPr="000203B4">
        <w:rPr>
          <w:rFonts w:cs="Calibri"/>
        </w:rPr>
        <w:t>Mgr</w:t>
      </w:r>
      <w:r w:rsidR="006431EF" w:rsidRPr="000203B4">
        <w:rPr>
          <w:rFonts w:cs="Calibri"/>
        </w:rPr>
        <w:t xml:space="preserve">. </w:t>
      </w:r>
      <w:r w:rsidRPr="000203B4">
        <w:rPr>
          <w:rFonts w:cs="Calibri"/>
        </w:rPr>
        <w:t>Jan Hladký, LL.M.</w:t>
      </w:r>
      <w:r w:rsidR="006431EF" w:rsidRPr="000203B4">
        <w:rPr>
          <w:rFonts w:cs="Calibri"/>
        </w:rPr>
        <w:t>, jednatel</w:t>
      </w:r>
    </w:p>
    <w:p w14:paraId="1FDBB9F6" w14:textId="0C94311B" w:rsidR="00911F1F" w:rsidRPr="000203B4" w:rsidRDefault="00911F1F">
      <w:pPr>
        <w:rPr>
          <w:rFonts w:cs="Calibri"/>
        </w:rPr>
      </w:pPr>
      <w:r w:rsidRPr="000203B4">
        <w:rPr>
          <w:rFonts w:cs="Calibri"/>
        </w:rPr>
        <w:br w:type="page"/>
      </w:r>
    </w:p>
    <w:p w14:paraId="2C2C8ED5" w14:textId="441891BE" w:rsidR="006431EF" w:rsidRPr="000203B4" w:rsidRDefault="00911F1F" w:rsidP="004D34F3">
      <w:pPr>
        <w:jc w:val="both"/>
        <w:rPr>
          <w:rFonts w:cs="Calibri"/>
          <w:b/>
          <w:bCs/>
        </w:rPr>
      </w:pPr>
      <w:r w:rsidRPr="000203B4">
        <w:rPr>
          <w:rFonts w:cs="Calibri"/>
          <w:b/>
          <w:bCs/>
        </w:rPr>
        <w:lastRenderedPageBreak/>
        <w:t>PŘÍLOHA Č. 1 – OZNÁMENÍ A NÁVRHY USNESENÍ K JEDNOTIVÝM BODŮM POŘADU JEDNÁNÍ SCHŮZE</w:t>
      </w:r>
    </w:p>
    <w:p w14:paraId="5740094F" w14:textId="77777777" w:rsidR="006431EF" w:rsidRPr="000203B4" w:rsidRDefault="006431EF" w:rsidP="004D34F3">
      <w:pPr>
        <w:jc w:val="both"/>
        <w:rPr>
          <w:rFonts w:cs="Calibri"/>
        </w:rPr>
      </w:pPr>
    </w:p>
    <w:p w14:paraId="466AF1A3" w14:textId="2BF46628" w:rsidR="009C3DE1" w:rsidRPr="000203B4" w:rsidRDefault="009C3DE1" w:rsidP="009C3DE1">
      <w:pPr>
        <w:rPr>
          <w:rFonts w:cs="Calibri"/>
          <w:u w:val="single"/>
        </w:rPr>
      </w:pPr>
      <w:r w:rsidRPr="000203B4">
        <w:rPr>
          <w:rFonts w:cs="Calibri"/>
          <w:u w:val="single"/>
        </w:rPr>
        <w:t xml:space="preserve">Oznámení k bodu </w:t>
      </w:r>
      <w:r w:rsidR="00674B9C" w:rsidRPr="000203B4">
        <w:rPr>
          <w:rFonts w:cs="Calibri"/>
          <w:u w:val="single"/>
        </w:rPr>
        <w:t>2</w:t>
      </w:r>
      <w:r w:rsidRPr="000203B4">
        <w:rPr>
          <w:rFonts w:cs="Calibri"/>
          <w:u w:val="single"/>
        </w:rPr>
        <w:t>:</w:t>
      </w:r>
    </w:p>
    <w:p w14:paraId="0FC4CED0" w14:textId="36249342" w:rsidR="009C3DE1" w:rsidRPr="000203B4" w:rsidRDefault="00B0110C" w:rsidP="009C3DE1">
      <w:pPr>
        <w:jc w:val="both"/>
        <w:rPr>
          <w:rFonts w:cs="Calibri"/>
        </w:rPr>
      </w:pPr>
      <w:r w:rsidRPr="000203B4">
        <w:rPr>
          <w:rFonts w:cs="Calibri"/>
        </w:rPr>
        <w:t>Pod tímto bodem bude projednána situace při zřizování zajištění ve prospěch Agenta pro zajištění ve vztahu k majetku tzv. Rezidence Hradská.</w:t>
      </w:r>
    </w:p>
    <w:p w14:paraId="5D1E6D85" w14:textId="77777777" w:rsidR="009C3DE1" w:rsidRPr="000203B4" w:rsidRDefault="009C3DE1" w:rsidP="009C3DE1">
      <w:pPr>
        <w:rPr>
          <w:rFonts w:cs="Calibri"/>
        </w:rPr>
      </w:pPr>
    </w:p>
    <w:p w14:paraId="735C61AD" w14:textId="460820C8" w:rsidR="009C3DE1" w:rsidRPr="000203B4" w:rsidRDefault="009C3DE1" w:rsidP="009C3DE1">
      <w:pPr>
        <w:rPr>
          <w:rFonts w:cs="Calibri"/>
          <w:u w:val="single"/>
        </w:rPr>
      </w:pPr>
      <w:r w:rsidRPr="000203B4">
        <w:rPr>
          <w:rFonts w:cs="Calibri"/>
          <w:u w:val="single"/>
        </w:rPr>
        <w:t xml:space="preserve">Odůvodnění k bodu </w:t>
      </w:r>
      <w:r w:rsidR="00674B9C" w:rsidRPr="000203B4">
        <w:rPr>
          <w:rFonts w:cs="Calibri"/>
          <w:u w:val="single"/>
        </w:rPr>
        <w:t>2</w:t>
      </w:r>
      <w:r w:rsidRPr="000203B4">
        <w:rPr>
          <w:rFonts w:cs="Calibri"/>
          <w:u w:val="single"/>
        </w:rPr>
        <w:t>:</w:t>
      </w:r>
    </w:p>
    <w:p w14:paraId="782B3B4A" w14:textId="77777777" w:rsidR="00B0110C" w:rsidRPr="000203B4" w:rsidRDefault="00B0110C" w:rsidP="00B0110C">
      <w:pPr>
        <w:jc w:val="both"/>
        <w:rPr>
          <w:rFonts w:cs="Calibri"/>
        </w:rPr>
      </w:pPr>
      <w:r w:rsidRPr="000203B4">
        <w:rPr>
          <w:rFonts w:cs="Calibri"/>
        </w:rPr>
        <w:t xml:space="preserve">Dle bodu 3.2.1. Emisních podmínek mají být závazky Emitenta vyplývající z Dluhopisů v souladu s článkem 3.2.5 Emisních podmínek zajištěny ve prospěch Agenta pro zajištění a jeho prostřednictvím pro ostatní majitele Dluhopisů zástavním právem k nemovitostem, které budou pořizovány přímým nákupem nebo převodem akcií či obchodních podílů společností vlastnících takové nemovitosti nebo zřízením podzástavního práva, v případě nákupu pohledávek zajištěných zástavním právem k nemovitostem, které budou poskytnuty jako zajištění při financování </w:t>
      </w:r>
      <w:proofErr w:type="spellStart"/>
      <w:r w:rsidRPr="000203B4">
        <w:rPr>
          <w:rFonts w:cs="Calibri"/>
        </w:rPr>
        <w:t>pohledávkových</w:t>
      </w:r>
      <w:proofErr w:type="spellEnd"/>
      <w:r w:rsidRPr="000203B4">
        <w:rPr>
          <w:rFonts w:cs="Calibri"/>
        </w:rPr>
        <w:t xml:space="preserve"> obchodů z prostředků získaných upsanými Dluhopisy. </w:t>
      </w:r>
    </w:p>
    <w:p w14:paraId="2D8E6B43" w14:textId="77777777" w:rsidR="00B0110C" w:rsidRPr="000203B4" w:rsidRDefault="00B0110C" w:rsidP="00B0110C">
      <w:pPr>
        <w:jc w:val="both"/>
        <w:rPr>
          <w:rFonts w:cs="Calibri"/>
        </w:rPr>
      </w:pPr>
    </w:p>
    <w:p w14:paraId="4BB5BA0A" w14:textId="42179BDB" w:rsidR="00B0110C" w:rsidRPr="000203B4" w:rsidRDefault="00B0110C" w:rsidP="00B0110C">
      <w:pPr>
        <w:jc w:val="both"/>
        <w:rPr>
          <w:rFonts w:cs="Calibri"/>
        </w:rPr>
      </w:pPr>
      <w:r w:rsidRPr="000203B4">
        <w:rPr>
          <w:rFonts w:cs="Calibri"/>
        </w:rPr>
        <w:t>Emitent m</w:t>
      </w:r>
      <w:r w:rsidR="007E608E" w:rsidRPr="000203B4">
        <w:rPr>
          <w:rFonts w:cs="Calibri"/>
        </w:rPr>
        <w:t>á</w:t>
      </w:r>
      <w:r w:rsidRPr="000203B4">
        <w:rPr>
          <w:rFonts w:cs="Calibri"/>
        </w:rPr>
        <w:t xml:space="preserve"> povinnost zajistit, aby se Agent pro zajištění stal zástavním nebo podzástavním věřitelem nemovitostí pořízených z prostředku získaných z upsaných dluhopisů (ať už přímo nebo prostřednictvím</w:t>
      </w:r>
    </w:p>
    <w:p w14:paraId="15AEDD2A" w14:textId="77777777" w:rsidR="00B0110C" w:rsidRPr="000203B4" w:rsidRDefault="00B0110C" w:rsidP="00B0110C">
      <w:pPr>
        <w:jc w:val="both"/>
        <w:rPr>
          <w:rFonts w:cs="Calibri"/>
        </w:rPr>
      </w:pPr>
      <w:r w:rsidRPr="000203B4">
        <w:rPr>
          <w:rFonts w:cs="Calibri"/>
        </w:rPr>
        <w:t>převodu akcií nebo obchodních podílů) nejpozději do šesti (6) měsíců ode dne zápisu Emitenta jako majitele takových nemovitostí v katastru nemovitostí. Agent pro zajištění bude vždy zástavním věřitelem ve vztahu k zastaveným nemovitostem bez ohledu na osobu zástavce, kterým může být Emitent nebo REALITY INVESTING Bond, a.s. nebo třetí osoba, na které má Emitent obchodní podíl nebo akcie nebo je Emitent schopen jinak zajistit, aby třetí osoba Zastavené nemovitosti zastavila.</w:t>
      </w:r>
    </w:p>
    <w:p w14:paraId="70674B54" w14:textId="77777777" w:rsidR="00B0110C" w:rsidRPr="000203B4" w:rsidRDefault="00B0110C" w:rsidP="00B0110C">
      <w:pPr>
        <w:jc w:val="both"/>
        <w:rPr>
          <w:rFonts w:cs="Calibri"/>
        </w:rPr>
      </w:pPr>
    </w:p>
    <w:p w14:paraId="45C1C2C3" w14:textId="37E4DA0C" w:rsidR="00B0110C" w:rsidRPr="000203B4" w:rsidRDefault="00B0110C" w:rsidP="00B0110C">
      <w:pPr>
        <w:widowControl/>
        <w:adjustRightInd w:val="0"/>
        <w:jc w:val="both"/>
        <w:rPr>
          <w:rFonts w:cs="Calibri"/>
        </w:rPr>
      </w:pPr>
      <w:r w:rsidRPr="000203B4">
        <w:rPr>
          <w:rFonts w:cs="Calibri"/>
        </w:rPr>
        <w:t xml:space="preserve">Agent pro zajištění vyzval dne 10. 9. 2021 Emitenta, aby zajistil ve prospěch Agenta pro zajištění zřízení zástavního práva na nemovitých věcech </w:t>
      </w:r>
      <w:r w:rsidR="00BF1A95" w:rsidRPr="000203B4">
        <w:rPr>
          <w:rFonts w:cs="Calibri"/>
        </w:rPr>
        <w:t>–</w:t>
      </w:r>
      <w:r w:rsidRPr="000203B4">
        <w:rPr>
          <w:rFonts w:cs="Calibri"/>
        </w:rPr>
        <w:t xml:space="preserve"> pozemcích v katastru nemovitostí </w:t>
      </w:r>
      <w:proofErr w:type="spellStart"/>
      <w:r w:rsidRPr="000203B4">
        <w:rPr>
          <w:rFonts w:cs="Calibri"/>
        </w:rPr>
        <w:t>Vrakuňa</w:t>
      </w:r>
      <w:proofErr w:type="spellEnd"/>
      <w:r w:rsidRPr="000203B4">
        <w:rPr>
          <w:rFonts w:cs="Calibri"/>
        </w:rPr>
        <w:t>, obec Bratislava, pare. č. 2191, 2192, 2193 a 2194 a stavbách na těchto pozemcích stojích (tzv. projekt „</w:t>
      </w:r>
      <w:r w:rsidRPr="000203B4">
        <w:rPr>
          <w:rFonts w:cs="Calibri"/>
          <w:b/>
          <w:bCs/>
        </w:rPr>
        <w:t>Rezidence Hradská</w:t>
      </w:r>
      <w:r w:rsidRPr="000203B4">
        <w:rPr>
          <w:rFonts w:cs="Calibri"/>
        </w:rPr>
        <w:t xml:space="preserve">“), a to tak, aby příslušné kroky byly zahájeny do 5 dnů od zaslání takové výzvy, eventuálně aby Emitent poskytl zajištění ve prospěch Agenta pro zajištění formou zajišťovacího převodu práva, a to veškerých pohledávek Emitenta za společností zřízenou podle práva Slovenské republiky, </w:t>
      </w:r>
      <w:proofErr w:type="spellStart"/>
      <w:r w:rsidRPr="000203B4">
        <w:rPr>
          <w:rFonts w:cs="Calibri"/>
        </w:rPr>
        <w:t>Rezidencia</w:t>
      </w:r>
      <w:proofErr w:type="spellEnd"/>
      <w:r w:rsidRPr="000203B4">
        <w:rPr>
          <w:rFonts w:cs="Calibri"/>
        </w:rPr>
        <w:t xml:space="preserve"> Hradská, s. r. o., se sídlem Zvolenská 3, 821 09 Bratislava, IČO: 50469576, když Emitent je dlouhodobě v prodlení s plněním této povinnosti.</w:t>
      </w:r>
      <w:r w:rsidR="007E608E" w:rsidRPr="000203B4">
        <w:rPr>
          <w:rFonts w:cs="Calibri"/>
        </w:rPr>
        <w:t xml:space="preserve"> </w:t>
      </w:r>
    </w:p>
    <w:p w14:paraId="618DDA38" w14:textId="19F98AB6" w:rsidR="007E608E" w:rsidRPr="000203B4" w:rsidRDefault="007E608E" w:rsidP="00B0110C">
      <w:pPr>
        <w:widowControl/>
        <w:adjustRightInd w:val="0"/>
        <w:jc w:val="both"/>
        <w:rPr>
          <w:rFonts w:cs="Calibri"/>
        </w:rPr>
      </w:pPr>
    </w:p>
    <w:p w14:paraId="154B1EF8" w14:textId="57DB7376" w:rsidR="007E608E" w:rsidRPr="000203B4" w:rsidRDefault="007E608E" w:rsidP="00B0110C">
      <w:pPr>
        <w:widowControl/>
        <w:adjustRightInd w:val="0"/>
        <w:jc w:val="both"/>
        <w:rPr>
          <w:rFonts w:cs="Calibri"/>
        </w:rPr>
      </w:pPr>
      <w:r w:rsidRPr="000203B4">
        <w:rPr>
          <w:rFonts w:cs="Calibri"/>
        </w:rPr>
        <w:t xml:space="preserve">Vzhledem k tomu, že ke splnění povinnosti nedošlo, </w:t>
      </w:r>
      <w:r w:rsidR="00C61524" w:rsidRPr="000203B4">
        <w:rPr>
          <w:rFonts w:cs="Calibri"/>
        </w:rPr>
        <w:t>nezbývá Agentovi pro zajištění než přistoupit ke svolání Schůze.</w:t>
      </w:r>
    </w:p>
    <w:p w14:paraId="35598663" w14:textId="77777777" w:rsidR="00B0110C" w:rsidRPr="000203B4" w:rsidRDefault="00B0110C" w:rsidP="00B0110C">
      <w:pPr>
        <w:widowControl/>
        <w:adjustRightInd w:val="0"/>
        <w:jc w:val="both"/>
        <w:rPr>
          <w:rFonts w:cs="Calibri"/>
        </w:rPr>
      </w:pPr>
    </w:p>
    <w:p w14:paraId="46854BBF" w14:textId="710E43B7" w:rsidR="00B0110C" w:rsidRPr="000203B4" w:rsidRDefault="00B0110C" w:rsidP="00B0110C">
      <w:pPr>
        <w:widowControl/>
        <w:adjustRightInd w:val="0"/>
        <w:jc w:val="both"/>
        <w:rPr>
          <w:rFonts w:cs="Calibri"/>
        </w:rPr>
      </w:pPr>
      <w:r w:rsidRPr="000203B4">
        <w:rPr>
          <w:rFonts w:cs="Calibri"/>
        </w:rPr>
        <w:t>Vzhledem k tomu, že Agent pro zajištění nemá k datu svolání Schůze informace o tom, jakým způsobem byly povinnosti Emitenta splněny, bude informace o zřízení zajištění ve vztahu k majetku tvořícího projekt „Rezidence Hradská“ věřitelům Dluhopisů poskytnuto přímo na Sch</w:t>
      </w:r>
      <w:r w:rsidR="007E608E" w:rsidRPr="000203B4">
        <w:rPr>
          <w:rFonts w:cs="Calibri"/>
        </w:rPr>
        <w:t>ů</w:t>
      </w:r>
      <w:r w:rsidRPr="000203B4">
        <w:rPr>
          <w:rFonts w:cs="Calibri"/>
        </w:rPr>
        <w:t>zi.</w:t>
      </w:r>
    </w:p>
    <w:p w14:paraId="65DC4296" w14:textId="675D0F92" w:rsidR="009C3DE1" w:rsidRPr="000203B4" w:rsidRDefault="009C3DE1" w:rsidP="009C3DE1">
      <w:pPr>
        <w:widowControl/>
        <w:adjustRightInd w:val="0"/>
        <w:jc w:val="both"/>
        <w:rPr>
          <w:rFonts w:cs="Calibri"/>
        </w:rPr>
      </w:pPr>
    </w:p>
    <w:p w14:paraId="31A4A752" w14:textId="1BAFC563" w:rsidR="009C3DE1" w:rsidRPr="000203B4" w:rsidRDefault="009C3DE1" w:rsidP="009C3DE1">
      <w:pPr>
        <w:rPr>
          <w:rFonts w:cs="Calibri"/>
          <w:u w:val="single"/>
        </w:rPr>
      </w:pPr>
      <w:r w:rsidRPr="000203B4">
        <w:rPr>
          <w:rFonts w:cs="Calibri"/>
          <w:u w:val="single"/>
        </w:rPr>
        <w:t xml:space="preserve">Návrh usnesení Schůze k bodu </w:t>
      </w:r>
      <w:r w:rsidR="00674B9C" w:rsidRPr="000203B4">
        <w:rPr>
          <w:rFonts w:cs="Calibri"/>
          <w:u w:val="single"/>
        </w:rPr>
        <w:t>2</w:t>
      </w:r>
      <w:r w:rsidRPr="000203B4">
        <w:rPr>
          <w:rFonts w:cs="Calibri"/>
          <w:u w:val="single"/>
        </w:rPr>
        <w:t>:</w:t>
      </w:r>
    </w:p>
    <w:p w14:paraId="14B3C976" w14:textId="77777777" w:rsidR="009C3DE1" w:rsidRPr="000203B4" w:rsidRDefault="009C3DE1" w:rsidP="009C3DE1">
      <w:pPr>
        <w:jc w:val="both"/>
        <w:rPr>
          <w:rFonts w:cs="Calibri"/>
        </w:rPr>
      </w:pPr>
    </w:p>
    <w:p w14:paraId="50447115" w14:textId="3E226275" w:rsidR="009C3DE1" w:rsidRPr="000203B4" w:rsidRDefault="009C3DE1" w:rsidP="009C3DE1">
      <w:pPr>
        <w:ind w:left="360" w:hanging="360"/>
        <w:jc w:val="both"/>
        <w:rPr>
          <w:rFonts w:cs="Calibri"/>
        </w:rPr>
      </w:pPr>
      <w:r w:rsidRPr="000203B4">
        <w:rPr>
          <w:rFonts w:cs="Calibri"/>
        </w:rPr>
        <w:t>2.1</w:t>
      </w:r>
      <w:r w:rsidRPr="000203B4">
        <w:rPr>
          <w:rFonts w:cs="Calibri"/>
        </w:rPr>
        <w:tab/>
        <w:t xml:space="preserve">Schůze bere na vědomí zprávu </w:t>
      </w:r>
      <w:r w:rsidR="00823EB7" w:rsidRPr="000203B4">
        <w:rPr>
          <w:rFonts w:cs="Calibri"/>
        </w:rPr>
        <w:t xml:space="preserve">o plnění požadavku Agenta pro zajištění na zřízení zástavního práva na nemovitostech tvořících tzv. „Projekt </w:t>
      </w:r>
      <w:r w:rsidR="00260C6D" w:rsidRPr="000203B4">
        <w:rPr>
          <w:rFonts w:cs="Calibri"/>
        </w:rPr>
        <w:t>H</w:t>
      </w:r>
      <w:r w:rsidR="00823EB7" w:rsidRPr="000203B4">
        <w:rPr>
          <w:rFonts w:cs="Calibri"/>
        </w:rPr>
        <w:t>radská“</w:t>
      </w:r>
      <w:r w:rsidRPr="000203B4">
        <w:rPr>
          <w:rFonts w:cs="Calibri"/>
        </w:rPr>
        <w:t>.</w:t>
      </w:r>
    </w:p>
    <w:p w14:paraId="24537B0F" w14:textId="77777777" w:rsidR="009C3DE1" w:rsidRPr="000203B4" w:rsidRDefault="009C3DE1" w:rsidP="002C6712">
      <w:pPr>
        <w:rPr>
          <w:rFonts w:cs="Calibri"/>
        </w:rPr>
      </w:pPr>
    </w:p>
    <w:p w14:paraId="2BD400AC" w14:textId="64E36DB8" w:rsidR="00A6605E" w:rsidRPr="000203B4" w:rsidRDefault="00A6605E" w:rsidP="00A6605E">
      <w:pPr>
        <w:rPr>
          <w:rFonts w:cs="Calibri"/>
          <w:u w:val="single"/>
        </w:rPr>
      </w:pPr>
      <w:r w:rsidRPr="000203B4">
        <w:rPr>
          <w:rFonts w:cs="Calibri"/>
          <w:u w:val="single"/>
        </w:rPr>
        <w:t xml:space="preserve">Oznámení k bodu </w:t>
      </w:r>
      <w:r w:rsidR="00674B9C" w:rsidRPr="000203B4">
        <w:rPr>
          <w:rFonts w:cs="Calibri"/>
          <w:u w:val="single"/>
        </w:rPr>
        <w:t>3</w:t>
      </w:r>
      <w:r w:rsidRPr="000203B4">
        <w:rPr>
          <w:rFonts w:cs="Calibri"/>
          <w:u w:val="single"/>
        </w:rPr>
        <w:t>:</w:t>
      </w:r>
    </w:p>
    <w:p w14:paraId="419C56B4" w14:textId="6B2DD494" w:rsidR="00495B18" w:rsidRPr="000203B4" w:rsidRDefault="00495B18" w:rsidP="00A6605E">
      <w:pPr>
        <w:jc w:val="both"/>
        <w:rPr>
          <w:rFonts w:cs="Calibri"/>
        </w:rPr>
      </w:pPr>
    </w:p>
    <w:p w14:paraId="584132DE" w14:textId="2CE2797E" w:rsidR="003A774F" w:rsidRPr="000203B4" w:rsidRDefault="00FE1158" w:rsidP="00A6605E">
      <w:pPr>
        <w:jc w:val="both"/>
        <w:rPr>
          <w:rFonts w:cs="Calibri"/>
        </w:rPr>
      </w:pPr>
      <w:r w:rsidRPr="000203B4">
        <w:rPr>
          <w:rFonts w:cs="Calibri"/>
        </w:rPr>
        <w:t xml:space="preserve">Společnost </w:t>
      </w:r>
      <w:r w:rsidR="0036241D" w:rsidRPr="000203B4">
        <w:rPr>
          <w:rFonts w:cs="Calibri"/>
        </w:rPr>
        <w:t>HLADKY.LEGAL</w:t>
      </w:r>
      <w:r w:rsidR="003A774F" w:rsidRPr="000203B4">
        <w:rPr>
          <w:rFonts w:cs="Calibri"/>
        </w:rPr>
        <w:t xml:space="preserve">, </w:t>
      </w:r>
      <w:r w:rsidR="00F754F7" w:rsidRPr="000203B4">
        <w:rPr>
          <w:rFonts w:cs="Calibri"/>
        </w:rPr>
        <w:t xml:space="preserve">vykonávající funkci </w:t>
      </w:r>
      <w:r w:rsidR="004B1B30" w:rsidRPr="000203B4">
        <w:rPr>
          <w:rFonts w:cs="Calibri"/>
        </w:rPr>
        <w:t>A</w:t>
      </w:r>
      <w:r w:rsidR="003A774F" w:rsidRPr="000203B4">
        <w:rPr>
          <w:rFonts w:cs="Calibri"/>
        </w:rPr>
        <w:t>gent</w:t>
      </w:r>
      <w:r w:rsidR="00F754F7" w:rsidRPr="000203B4">
        <w:rPr>
          <w:rFonts w:cs="Calibri"/>
        </w:rPr>
        <w:t>a</w:t>
      </w:r>
      <w:r w:rsidR="003A774F" w:rsidRPr="000203B4">
        <w:rPr>
          <w:rFonts w:cs="Calibri"/>
        </w:rPr>
        <w:t xml:space="preserve"> pro zajištění</w:t>
      </w:r>
      <w:r w:rsidR="00724FD9" w:rsidRPr="000203B4">
        <w:rPr>
          <w:rFonts w:cs="Calibri"/>
        </w:rPr>
        <w:t>,</w:t>
      </w:r>
      <w:r w:rsidR="003A774F" w:rsidRPr="000203B4">
        <w:rPr>
          <w:rFonts w:cs="Calibri"/>
        </w:rPr>
        <w:t xml:space="preserve"> </w:t>
      </w:r>
      <w:r w:rsidR="00972B86" w:rsidRPr="000203B4">
        <w:rPr>
          <w:rFonts w:cs="Calibri"/>
        </w:rPr>
        <w:t>postupuje v</w:t>
      </w:r>
      <w:r w:rsidR="006E75F6" w:rsidRPr="000203B4">
        <w:rPr>
          <w:rFonts w:cs="Calibri"/>
        </w:rPr>
        <w:t> </w:t>
      </w:r>
      <w:r w:rsidR="00972B86" w:rsidRPr="000203B4">
        <w:rPr>
          <w:rFonts w:cs="Calibri"/>
        </w:rPr>
        <w:t>případě</w:t>
      </w:r>
      <w:r w:rsidR="006E75F6" w:rsidRPr="000203B4">
        <w:rPr>
          <w:rFonts w:cs="Calibri"/>
        </w:rPr>
        <w:t xml:space="preserve"> prodlení se zřízením zajištění podle čl. 3.2.6 Emisních podmínek</w:t>
      </w:r>
      <w:r w:rsidR="005E7036">
        <w:rPr>
          <w:rFonts w:cs="Calibri"/>
        </w:rPr>
        <w:t xml:space="preserve"> a činí návrh na další postup, v podobě návrhu na zesplatnění Dluhopisů a vymáhání Dluhů Emitenta</w:t>
      </w:r>
      <w:r w:rsidR="00FF2FBF" w:rsidRPr="000203B4">
        <w:rPr>
          <w:rFonts w:cs="Calibri"/>
        </w:rPr>
        <w:t>.</w:t>
      </w:r>
    </w:p>
    <w:p w14:paraId="65BBD351" w14:textId="77777777" w:rsidR="00A6605E" w:rsidRPr="000203B4" w:rsidRDefault="00A6605E" w:rsidP="00A6605E">
      <w:pPr>
        <w:rPr>
          <w:rFonts w:cs="Calibri"/>
        </w:rPr>
      </w:pPr>
    </w:p>
    <w:p w14:paraId="257382C7" w14:textId="7925E32A" w:rsidR="00A6605E" w:rsidRPr="000203B4" w:rsidRDefault="00A6605E" w:rsidP="00A6605E">
      <w:pPr>
        <w:rPr>
          <w:rFonts w:cs="Calibri"/>
          <w:u w:val="single"/>
        </w:rPr>
      </w:pPr>
      <w:r w:rsidRPr="000203B4">
        <w:rPr>
          <w:rFonts w:cs="Calibri"/>
          <w:u w:val="single"/>
        </w:rPr>
        <w:t xml:space="preserve">Odůvodnění k bodu </w:t>
      </w:r>
      <w:r w:rsidR="00674B9C" w:rsidRPr="000203B4">
        <w:rPr>
          <w:rFonts w:cs="Calibri"/>
          <w:u w:val="single"/>
        </w:rPr>
        <w:t>3</w:t>
      </w:r>
      <w:r w:rsidRPr="000203B4">
        <w:rPr>
          <w:rFonts w:cs="Calibri"/>
          <w:u w:val="single"/>
        </w:rPr>
        <w:t>:</w:t>
      </w:r>
    </w:p>
    <w:p w14:paraId="7A628882" w14:textId="77777777" w:rsidR="00A1366B" w:rsidRPr="000203B4" w:rsidRDefault="000460F9" w:rsidP="00A6605E">
      <w:pPr>
        <w:widowControl/>
        <w:adjustRightInd w:val="0"/>
        <w:jc w:val="both"/>
        <w:rPr>
          <w:rFonts w:cs="Calibri"/>
        </w:rPr>
      </w:pPr>
      <w:r w:rsidRPr="000203B4">
        <w:rPr>
          <w:rFonts w:cs="Calibri"/>
        </w:rPr>
        <w:lastRenderedPageBreak/>
        <w:t>V případě, že nedojde k splnění povinnosti Emitenta</w:t>
      </w:r>
      <w:r w:rsidR="00674B9C" w:rsidRPr="000203B4">
        <w:rPr>
          <w:rFonts w:cs="Calibri"/>
        </w:rPr>
        <w:t>, jak bylo popsáno pod bodem 2 výše</w:t>
      </w:r>
      <w:r w:rsidR="008727BB">
        <w:rPr>
          <w:rFonts w:cs="Calibri"/>
        </w:rPr>
        <w:t>,</w:t>
      </w:r>
      <w:r w:rsidR="00674B9C" w:rsidRPr="008727BB">
        <w:rPr>
          <w:rFonts w:cs="Calibri"/>
        </w:rPr>
        <w:t xml:space="preserve"> ani ke dni S</w:t>
      </w:r>
      <w:r w:rsidR="00674B9C" w:rsidRPr="000203B4">
        <w:rPr>
          <w:rFonts w:cs="Calibri"/>
        </w:rPr>
        <w:t xml:space="preserve">chůze, </w:t>
      </w:r>
      <w:r w:rsidR="00A857EA" w:rsidRPr="000203B4">
        <w:rPr>
          <w:rFonts w:cs="Calibri"/>
        </w:rPr>
        <w:t xml:space="preserve">považuje Agent pro zajištění za vhodné, aby Schůze </w:t>
      </w:r>
      <w:r w:rsidR="00A05510" w:rsidRPr="000203B4">
        <w:rPr>
          <w:rFonts w:cs="Calibri"/>
        </w:rPr>
        <w:t xml:space="preserve">postupovala podle čl. 3.2.6 Emisních podmínek. </w:t>
      </w:r>
      <w:r w:rsidR="00E759A0" w:rsidRPr="000203B4">
        <w:rPr>
          <w:rFonts w:cs="Calibri"/>
        </w:rPr>
        <w:t>Agent pro z</w:t>
      </w:r>
      <w:r w:rsidR="006B0143" w:rsidRPr="000203B4">
        <w:rPr>
          <w:rFonts w:cs="Calibri"/>
        </w:rPr>
        <w:t xml:space="preserve">ajištění navrhuje, aby Schůze rozhodla </w:t>
      </w:r>
      <w:r w:rsidR="00C56270" w:rsidRPr="000203B4">
        <w:rPr>
          <w:rFonts w:cs="Calibri"/>
        </w:rPr>
        <w:t>o předčasné splatnosti Dluhopisů</w:t>
      </w:r>
      <w:r w:rsidR="003165F3" w:rsidRPr="000203B4">
        <w:rPr>
          <w:rFonts w:cs="Calibri"/>
        </w:rPr>
        <w:t>.</w:t>
      </w:r>
    </w:p>
    <w:p w14:paraId="71ECEB2C" w14:textId="77777777" w:rsidR="00634E96" w:rsidRPr="000203B4" w:rsidRDefault="00634E96" w:rsidP="00A6605E">
      <w:pPr>
        <w:widowControl/>
        <w:adjustRightInd w:val="0"/>
        <w:jc w:val="both"/>
        <w:rPr>
          <w:rFonts w:cs="Calibri"/>
        </w:rPr>
      </w:pPr>
    </w:p>
    <w:p w14:paraId="7756024E" w14:textId="68DC681A" w:rsidR="00634E96" w:rsidRPr="000203B4" w:rsidRDefault="003165F3" w:rsidP="00A6605E">
      <w:pPr>
        <w:widowControl/>
        <w:adjustRightInd w:val="0"/>
        <w:jc w:val="both"/>
        <w:rPr>
          <w:rFonts w:cs="Calibri"/>
        </w:rPr>
      </w:pPr>
      <w:r w:rsidRPr="000203B4">
        <w:rPr>
          <w:rFonts w:cs="Calibri"/>
        </w:rPr>
        <w:t>Agent pro zajištění dále navrhuje, aby</w:t>
      </w:r>
      <w:r w:rsidR="00DD6B07" w:rsidRPr="000203B4">
        <w:rPr>
          <w:rFonts w:cs="Calibri"/>
        </w:rPr>
        <w:t xml:space="preserve"> </w:t>
      </w:r>
      <w:r w:rsidR="000436FB" w:rsidRPr="000203B4">
        <w:rPr>
          <w:rFonts w:cs="Calibri"/>
        </w:rPr>
        <w:t xml:space="preserve">Schůze </w:t>
      </w:r>
      <w:r w:rsidR="00E55AC7" w:rsidRPr="000203B4">
        <w:rPr>
          <w:rFonts w:cs="Calibri"/>
        </w:rPr>
        <w:t>v souladu s</w:t>
      </w:r>
      <w:r w:rsidR="00100A3F" w:rsidRPr="000203B4">
        <w:rPr>
          <w:rFonts w:cs="Calibri"/>
        </w:rPr>
        <w:t> čl.</w:t>
      </w:r>
      <w:r w:rsidR="00113CCB" w:rsidRPr="000203B4">
        <w:rPr>
          <w:rFonts w:cs="Calibri"/>
        </w:rPr>
        <w:t xml:space="preserve"> </w:t>
      </w:r>
      <w:r w:rsidR="008E2DD0" w:rsidRPr="000203B4">
        <w:rPr>
          <w:rFonts w:cs="Calibri"/>
        </w:rPr>
        <w:t xml:space="preserve">3.2.7 Emisních podmínek </w:t>
      </w:r>
      <w:r w:rsidR="00DD6B07" w:rsidRPr="000203B4">
        <w:rPr>
          <w:rFonts w:cs="Calibri"/>
        </w:rPr>
        <w:t>rozhod</w:t>
      </w:r>
      <w:r w:rsidRPr="000203B4">
        <w:rPr>
          <w:rFonts w:cs="Calibri"/>
        </w:rPr>
        <w:t>la</w:t>
      </w:r>
      <w:r w:rsidR="00DD6B07" w:rsidRPr="000203B4">
        <w:rPr>
          <w:rFonts w:cs="Calibri"/>
        </w:rPr>
        <w:t xml:space="preserve"> o</w:t>
      </w:r>
      <w:r w:rsidRPr="000203B4">
        <w:rPr>
          <w:rFonts w:cs="Calibri"/>
        </w:rPr>
        <w:t> </w:t>
      </w:r>
      <w:r w:rsidR="00FC0968" w:rsidRPr="000203B4">
        <w:rPr>
          <w:rFonts w:cs="Calibri"/>
        </w:rPr>
        <w:t xml:space="preserve">pověření </w:t>
      </w:r>
      <w:r w:rsidR="00413ECF" w:rsidRPr="000203B4">
        <w:rPr>
          <w:rFonts w:cs="Calibri"/>
        </w:rPr>
        <w:t>Agent</w:t>
      </w:r>
      <w:r w:rsidR="00FC0968" w:rsidRPr="000203B4">
        <w:rPr>
          <w:rFonts w:cs="Calibri"/>
        </w:rPr>
        <w:t xml:space="preserve">a pro zajištění </w:t>
      </w:r>
      <w:r w:rsidR="00DD6B07" w:rsidRPr="000203B4">
        <w:rPr>
          <w:rFonts w:cs="Calibri"/>
        </w:rPr>
        <w:t>vymáhání</w:t>
      </w:r>
      <w:r w:rsidR="00FC0968" w:rsidRPr="000203B4">
        <w:rPr>
          <w:rFonts w:cs="Calibri"/>
        </w:rPr>
        <w:t xml:space="preserve">m </w:t>
      </w:r>
      <w:r w:rsidR="000C74F0" w:rsidRPr="000203B4">
        <w:rPr>
          <w:rFonts w:cs="Calibri"/>
        </w:rPr>
        <w:t>D</w:t>
      </w:r>
      <w:r w:rsidR="00DD6B07" w:rsidRPr="000203B4">
        <w:rPr>
          <w:rFonts w:cs="Calibri"/>
        </w:rPr>
        <w:t xml:space="preserve">luhů Emitenta. </w:t>
      </w:r>
      <w:r w:rsidR="0078781B" w:rsidRPr="000203B4">
        <w:rPr>
          <w:rFonts w:cs="Calibri"/>
        </w:rPr>
        <w:t xml:space="preserve">Schůze je rovněž </w:t>
      </w:r>
      <w:r w:rsidR="008D6292" w:rsidRPr="000203B4">
        <w:rPr>
          <w:rFonts w:cs="Calibri"/>
        </w:rPr>
        <w:t xml:space="preserve">dle výše uvedených ustanovení </w:t>
      </w:r>
      <w:r w:rsidR="0078781B" w:rsidRPr="000203B4">
        <w:rPr>
          <w:rFonts w:cs="Calibri"/>
        </w:rPr>
        <w:t xml:space="preserve">oprávněná rozhodnout o způsobu </w:t>
      </w:r>
      <w:r w:rsidR="00634E96" w:rsidRPr="000203B4">
        <w:rPr>
          <w:rFonts w:cs="Calibri"/>
        </w:rPr>
        <w:t xml:space="preserve">realizace zajištění, jímž jsou zajištěny </w:t>
      </w:r>
      <w:r w:rsidR="001B5698" w:rsidRPr="000203B4">
        <w:rPr>
          <w:rFonts w:cs="Calibri"/>
        </w:rPr>
        <w:t>D</w:t>
      </w:r>
      <w:r w:rsidR="00634E96" w:rsidRPr="000203B4">
        <w:rPr>
          <w:rFonts w:cs="Calibri"/>
        </w:rPr>
        <w:t>luhy Emitenta vyplývající z Dluhopisů.</w:t>
      </w:r>
      <w:r w:rsidR="00A45F95" w:rsidRPr="000203B4">
        <w:rPr>
          <w:rFonts w:cs="Calibri"/>
        </w:rPr>
        <w:t xml:space="preserve"> </w:t>
      </w:r>
    </w:p>
    <w:p w14:paraId="442EA618" w14:textId="4CA6B35F" w:rsidR="000D2E24" w:rsidRPr="000203B4" w:rsidRDefault="000D2E24" w:rsidP="00A6605E">
      <w:pPr>
        <w:widowControl/>
        <w:adjustRightInd w:val="0"/>
        <w:jc w:val="both"/>
        <w:rPr>
          <w:rFonts w:cs="Calibri"/>
        </w:rPr>
      </w:pPr>
    </w:p>
    <w:p w14:paraId="323C1662" w14:textId="3707DE5C" w:rsidR="000D2E24" w:rsidRPr="000203B4" w:rsidRDefault="000D2E24" w:rsidP="00A6605E">
      <w:pPr>
        <w:widowControl/>
        <w:adjustRightInd w:val="0"/>
        <w:jc w:val="both"/>
        <w:rPr>
          <w:rFonts w:cs="Calibri"/>
        </w:rPr>
      </w:pPr>
      <w:r w:rsidRPr="000203B4">
        <w:rPr>
          <w:rFonts w:cs="Calibri"/>
        </w:rPr>
        <w:t xml:space="preserve">S ohledem na uvedené je navrhováno, aby </w:t>
      </w:r>
      <w:r w:rsidR="00A31182" w:rsidRPr="000203B4">
        <w:rPr>
          <w:rFonts w:cs="Calibri"/>
        </w:rPr>
        <w:t xml:space="preserve">byl </w:t>
      </w:r>
      <w:r w:rsidR="00413ECF" w:rsidRPr="000203B4">
        <w:rPr>
          <w:rFonts w:cs="Calibri"/>
        </w:rPr>
        <w:t>Agent</w:t>
      </w:r>
      <w:r w:rsidR="00A31182" w:rsidRPr="000203B4">
        <w:rPr>
          <w:rFonts w:cs="Calibri"/>
        </w:rPr>
        <w:t xml:space="preserve"> pro zajištění pověřen vymáháním Dluhů </w:t>
      </w:r>
      <w:r w:rsidR="00E7531C" w:rsidRPr="000203B4">
        <w:rPr>
          <w:rFonts w:cs="Calibri"/>
        </w:rPr>
        <w:t>E</w:t>
      </w:r>
      <w:r w:rsidR="00A31182" w:rsidRPr="000203B4">
        <w:rPr>
          <w:rFonts w:cs="Calibri"/>
        </w:rPr>
        <w:t>mitenta.</w:t>
      </w:r>
      <w:r w:rsidR="00AA3907" w:rsidRPr="000203B4">
        <w:rPr>
          <w:rFonts w:cs="Calibri"/>
        </w:rPr>
        <w:t xml:space="preserve"> </w:t>
      </w:r>
      <w:r w:rsidR="00A31182" w:rsidRPr="000203B4">
        <w:rPr>
          <w:rFonts w:cs="Calibri"/>
        </w:rPr>
        <w:t>Zároveň je navrhováno</w:t>
      </w:r>
      <w:r w:rsidR="00E7531C" w:rsidRPr="000203B4">
        <w:rPr>
          <w:rFonts w:cs="Calibri"/>
        </w:rPr>
        <w:t xml:space="preserve"> stanovení rozsahu a způsobu realizace zajištění s tím, že s ohledem na maximalizaci </w:t>
      </w:r>
      <w:r w:rsidR="00FA168C" w:rsidRPr="000203B4">
        <w:rPr>
          <w:rFonts w:cs="Calibri"/>
        </w:rPr>
        <w:t xml:space="preserve">výtěžku </w:t>
      </w:r>
      <w:r w:rsidR="002D0B63" w:rsidRPr="000203B4">
        <w:rPr>
          <w:rFonts w:cs="Calibri"/>
        </w:rPr>
        <w:t xml:space="preserve">ze zpeněžení </w:t>
      </w:r>
      <w:r w:rsidR="00FA168C" w:rsidRPr="000203B4">
        <w:rPr>
          <w:rFonts w:cs="Calibri"/>
        </w:rPr>
        <w:t xml:space="preserve">zajištění je navrhováno, aby </w:t>
      </w:r>
      <w:r w:rsidR="00413ECF" w:rsidRPr="000203B4">
        <w:rPr>
          <w:rFonts w:cs="Calibri"/>
        </w:rPr>
        <w:t>Agent</w:t>
      </w:r>
      <w:r w:rsidR="00FA168C" w:rsidRPr="000203B4">
        <w:rPr>
          <w:rFonts w:cs="Calibri"/>
        </w:rPr>
        <w:t xml:space="preserve"> pro zajištění použil </w:t>
      </w:r>
      <w:r w:rsidR="00B27B9D" w:rsidRPr="000203B4">
        <w:rPr>
          <w:rFonts w:cs="Calibri"/>
        </w:rPr>
        <w:t xml:space="preserve">veškeré </w:t>
      </w:r>
      <w:r w:rsidR="00FA168C" w:rsidRPr="000203B4">
        <w:rPr>
          <w:rFonts w:cs="Calibri"/>
        </w:rPr>
        <w:t xml:space="preserve">zákonem předvídané nástroje realizace zástavního práva, a to včetně uplatnění </w:t>
      </w:r>
      <w:r w:rsidR="00AA3907" w:rsidRPr="000203B4">
        <w:rPr>
          <w:rFonts w:cs="Calibri"/>
        </w:rPr>
        <w:t>v rámci insolvenčního řízení</w:t>
      </w:r>
      <w:r w:rsidR="00BB77A6" w:rsidRPr="000203B4">
        <w:rPr>
          <w:rFonts w:cs="Calibri"/>
        </w:rPr>
        <w:t>, a to ve vztahu ke všem nemovitým věcem tvořícím zajištění Dluhopisů</w:t>
      </w:r>
      <w:r w:rsidR="00AA3907" w:rsidRPr="000203B4">
        <w:rPr>
          <w:rFonts w:cs="Calibri"/>
        </w:rPr>
        <w:t>.</w:t>
      </w:r>
    </w:p>
    <w:p w14:paraId="2E957691" w14:textId="36F25718" w:rsidR="0023095C" w:rsidRPr="000203B4" w:rsidRDefault="0023095C" w:rsidP="00A6605E">
      <w:pPr>
        <w:widowControl/>
        <w:adjustRightInd w:val="0"/>
        <w:jc w:val="both"/>
        <w:rPr>
          <w:rFonts w:cs="Calibri"/>
        </w:rPr>
      </w:pPr>
    </w:p>
    <w:p w14:paraId="0A03F2F6" w14:textId="1CDCE2B0" w:rsidR="0023095C" w:rsidRPr="000203B4" w:rsidRDefault="0023095C" w:rsidP="00A6605E">
      <w:pPr>
        <w:widowControl/>
        <w:adjustRightInd w:val="0"/>
        <w:jc w:val="both"/>
        <w:rPr>
          <w:rFonts w:cs="Calibri"/>
        </w:rPr>
      </w:pPr>
      <w:r w:rsidRPr="000203B4">
        <w:rPr>
          <w:rFonts w:cs="Calibri"/>
        </w:rPr>
        <w:t xml:space="preserve">Ve vztahu k vymáhání </w:t>
      </w:r>
      <w:r w:rsidR="008D556B" w:rsidRPr="000203B4">
        <w:rPr>
          <w:rFonts w:cs="Calibri"/>
        </w:rPr>
        <w:t xml:space="preserve">Dluhů Emitenta realizací zástavního práva ve vztahu k Nemovitostem </w:t>
      </w:r>
      <w:r w:rsidR="00DF37B8" w:rsidRPr="000203B4">
        <w:rPr>
          <w:rFonts w:cs="Calibri"/>
        </w:rPr>
        <w:t xml:space="preserve">Soběšice je </w:t>
      </w:r>
      <w:r w:rsidR="005C5B19" w:rsidRPr="000203B4">
        <w:rPr>
          <w:rFonts w:cs="Calibri"/>
        </w:rPr>
        <w:t xml:space="preserve">navrhováno alternativně umožnit Agentu pro zajištění jednat o vyplacení zástavy s ohledem na příslib </w:t>
      </w:r>
      <w:r w:rsidR="009579E2" w:rsidRPr="000203B4">
        <w:rPr>
          <w:rFonts w:cs="Calibri"/>
        </w:rPr>
        <w:t>nabídky takového řešení ze strany zástavního dlužníka</w:t>
      </w:r>
      <w:r w:rsidR="005C5B19" w:rsidRPr="000203B4">
        <w:rPr>
          <w:rFonts w:cs="Calibri"/>
        </w:rPr>
        <w:t>. Agent p</w:t>
      </w:r>
      <w:r w:rsidR="009579E2" w:rsidRPr="000203B4">
        <w:rPr>
          <w:rFonts w:cs="Calibri"/>
        </w:rPr>
        <w:t xml:space="preserve">ro zajištění však </w:t>
      </w:r>
      <w:r w:rsidR="006E084F" w:rsidRPr="000203B4">
        <w:rPr>
          <w:rFonts w:cs="Calibri"/>
        </w:rPr>
        <w:t xml:space="preserve">považuje takovýto způsob </w:t>
      </w:r>
      <w:r w:rsidR="001961B6" w:rsidRPr="000203B4">
        <w:rPr>
          <w:rFonts w:cs="Calibri"/>
        </w:rPr>
        <w:t>realizace pohledávky za problematický s ohledem na probíhající insolvenční řízení.</w:t>
      </w:r>
    </w:p>
    <w:p w14:paraId="17219C08" w14:textId="252FFC2E" w:rsidR="00DC3712" w:rsidRPr="000203B4" w:rsidRDefault="00DC3712" w:rsidP="00A6605E">
      <w:pPr>
        <w:widowControl/>
        <w:adjustRightInd w:val="0"/>
        <w:jc w:val="both"/>
        <w:rPr>
          <w:rFonts w:cs="Calibri"/>
        </w:rPr>
      </w:pPr>
    </w:p>
    <w:p w14:paraId="0DDF87C2" w14:textId="02F4A7C0" w:rsidR="00A6605E" w:rsidRPr="000203B4" w:rsidRDefault="00A6605E" w:rsidP="00A6605E">
      <w:pPr>
        <w:rPr>
          <w:rFonts w:cs="Calibri"/>
          <w:u w:val="single"/>
        </w:rPr>
      </w:pPr>
      <w:r w:rsidRPr="000203B4">
        <w:rPr>
          <w:rFonts w:cs="Calibri"/>
          <w:u w:val="single"/>
        </w:rPr>
        <w:t xml:space="preserve">Návrh usnesení Schůze k bodu </w:t>
      </w:r>
      <w:r w:rsidR="00432809" w:rsidRPr="000203B4">
        <w:rPr>
          <w:rFonts w:cs="Calibri"/>
          <w:u w:val="single"/>
        </w:rPr>
        <w:t>3</w:t>
      </w:r>
      <w:r w:rsidRPr="000203B4">
        <w:rPr>
          <w:rFonts w:cs="Calibri"/>
          <w:u w:val="single"/>
        </w:rPr>
        <w:t>:</w:t>
      </w:r>
    </w:p>
    <w:p w14:paraId="5367D419" w14:textId="3873F3AA" w:rsidR="00A6605E" w:rsidRPr="000203B4" w:rsidRDefault="00A6605E" w:rsidP="00A6605E">
      <w:pPr>
        <w:rPr>
          <w:rFonts w:cs="Calibri"/>
        </w:rPr>
      </w:pPr>
    </w:p>
    <w:p w14:paraId="535787B7" w14:textId="2F4679AC" w:rsidR="00B20DDE" w:rsidRPr="007F1EA9" w:rsidRDefault="00B20DDE" w:rsidP="000203B4">
      <w:pPr>
        <w:ind w:left="360" w:hanging="360"/>
        <w:jc w:val="both"/>
        <w:rPr>
          <w:rFonts w:cs="Calibri"/>
        </w:rPr>
      </w:pPr>
      <w:r w:rsidRPr="000203B4">
        <w:rPr>
          <w:rFonts w:cs="Calibri"/>
        </w:rPr>
        <w:t>3.1</w:t>
      </w:r>
      <w:r w:rsidRPr="000203B4">
        <w:rPr>
          <w:rFonts w:cs="Calibri"/>
        </w:rPr>
        <w:tab/>
        <w:t xml:space="preserve">Schůze </w:t>
      </w:r>
      <w:r w:rsidR="00C97874" w:rsidRPr="000203B4">
        <w:rPr>
          <w:rFonts w:cs="Calibri"/>
        </w:rPr>
        <w:t>podle čl. 3.2.6 Emisních po</w:t>
      </w:r>
      <w:r w:rsidR="00615DDF" w:rsidRPr="000203B4">
        <w:rPr>
          <w:rFonts w:cs="Calibri"/>
        </w:rPr>
        <w:t>d</w:t>
      </w:r>
      <w:r w:rsidR="00C97874" w:rsidRPr="000203B4">
        <w:rPr>
          <w:rFonts w:cs="Calibri"/>
        </w:rPr>
        <w:t xml:space="preserve">mínek </w:t>
      </w:r>
      <w:r w:rsidRPr="000203B4">
        <w:rPr>
          <w:rFonts w:cs="Calibri"/>
        </w:rPr>
        <w:t>rozhod</w:t>
      </w:r>
      <w:r w:rsidR="003D61EE" w:rsidRPr="000203B4">
        <w:rPr>
          <w:rFonts w:cs="Calibri"/>
        </w:rPr>
        <w:t xml:space="preserve">uje </w:t>
      </w:r>
      <w:r w:rsidR="007F1EA9">
        <w:rPr>
          <w:rFonts w:cs="Calibri"/>
        </w:rPr>
        <w:t xml:space="preserve">o tom, </w:t>
      </w:r>
      <w:r w:rsidR="00D50B9D">
        <w:rPr>
          <w:rFonts w:cs="Calibri"/>
        </w:rPr>
        <w:t xml:space="preserve">že Dluhopisy </w:t>
      </w:r>
      <w:r w:rsidR="00D67E85">
        <w:rPr>
          <w:rFonts w:cs="Calibri"/>
        </w:rPr>
        <w:t xml:space="preserve">stávají </w:t>
      </w:r>
      <w:r w:rsidR="008727BB">
        <w:rPr>
          <w:rFonts w:cs="Calibri"/>
        </w:rPr>
        <w:t>předčasně splatnými.</w:t>
      </w:r>
    </w:p>
    <w:p w14:paraId="1BFC4872" w14:textId="77777777" w:rsidR="00B20DDE" w:rsidRPr="000203B4" w:rsidRDefault="00B20DDE" w:rsidP="00A6605E">
      <w:pPr>
        <w:rPr>
          <w:rFonts w:cs="Calibri"/>
        </w:rPr>
      </w:pPr>
    </w:p>
    <w:p w14:paraId="5140ACE1" w14:textId="219B8537" w:rsidR="00A6605E" w:rsidRPr="000203B4" w:rsidRDefault="00D95976" w:rsidP="00DE66A0">
      <w:pPr>
        <w:ind w:left="360" w:hanging="360"/>
        <w:jc w:val="both"/>
        <w:rPr>
          <w:rFonts w:cs="Calibri"/>
        </w:rPr>
      </w:pPr>
      <w:r w:rsidRPr="000203B4">
        <w:rPr>
          <w:rFonts w:cs="Calibri"/>
        </w:rPr>
        <w:t>3.1</w:t>
      </w:r>
      <w:r w:rsidRPr="000203B4">
        <w:rPr>
          <w:rFonts w:cs="Calibri"/>
        </w:rPr>
        <w:tab/>
      </w:r>
      <w:r w:rsidR="00060810" w:rsidRPr="000203B4">
        <w:rPr>
          <w:rFonts w:cs="Calibri"/>
        </w:rPr>
        <w:t xml:space="preserve">Schůze pověřuje </w:t>
      </w:r>
      <w:r w:rsidR="00413ECF" w:rsidRPr="000203B4">
        <w:rPr>
          <w:rFonts w:cs="Calibri"/>
        </w:rPr>
        <w:t>Agent</w:t>
      </w:r>
      <w:r w:rsidR="001A365D" w:rsidRPr="000203B4">
        <w:rPr>
          <w:rFonts w:cs="Calibri"/>
        </w:rPr>
        <w:t xml:space="preserve">a pro zajištění </w:t>
      </w:r>
      <w:r w:rsidR="00EE1227" w:rsidRPr="000203B4">
        <w:rPr>
          <w:rFonts w:cs="Calibri"/>
        </w:rPr>
        <w:t xml:space="preserve">Dluhopisů </w:t>
      </w:r>
      <w:r w:rsidR="001A365D" w:rsidRPr="000203B4">
        <w:rPr>
          <w:rFonts w:cs="Calibri"/>
        </w:rPr>
        <w:t xml:space="preserve">vymáháním </w:t>
      </w:r>
      <w:r w:rsidR="001B5698" w:rsidRPr="000203B4">
        <w:rPr>
          <w:rFonts w:cs="Calibri"/>
        </w:rPr>
        <w:t>D</w:t>
      </w:r>
      <w:r w:rsidR="001A365D" w:rsidRPr="000203B4">
        <w:rPr>
          <w:rFonts w:cs="Calibri"/>
        </w:rPr>
        <w:t>luhů Emitenta</w:t>
      </w:r>
      <w:r w:rsidR="00E8519C" w:rsidRPr="000203B4">
        <w:rPr>
          <w:rFonts w:cs="Calibri"/>
        </w:rPr>
        <w:t xml:space="preserve"> </w:t>
      </w:r>
      <w:r w:rsidR="00EC57BB" w:rsidRPr="000203B4">
        <w:rPr>
          <w:rFonts w:cs="Calibri"/>
        </w:rPr>
        <w:t>ve prospěch vlastníků Dluhopisů</w:t>
      </w:r>
      <w:r w:rsidR="00A3784A" w:rsidRPr="000203B4">
        <w:rPr>
          <w:rFonts w:cs="Calibri"/>
        </w:rPr>
        <w:t xml:space="preserve"> </w:t>
      </w:r>
      <w:r w:rsidR="00EC0403" w:rsidRPr="000203B4">
        <w:rPr>
          <w:rFonts w:cs="Calibri"/>
        </w:rPr>
        <w:t xml:space="preserve">způsoby, </w:t>
      </w:r>
      <w:r w:rsidR="00494956" w:rsidRPr="000203B4">
        <w:rPr>
          <w:rFonts w:cs="Calibri"/>
        </w:rPr>
        <w:t>které</w:t>
      </w:r>
      <w:r w:rsidR="00EC0403" w:rsidRPr="000203B4">
        <w:rPr>
          <w:rFonts w:cs="Calibri"/>
        </w:rPr>
        <w:t xml:space="preserve"> jsou </w:t>
      </w:r>
      <w:r w:rsidR="00D35351" w:rsidRPr="000203B4">
        <w:rPr>
          <w:rFonts w:cs="Calibri"/>
        </w:rPr>
        <w:t>uvedeny v usnesení Schůze</w:t>
      </w:r>
      <w:r w:rsidR="005644FE" w:rsidRPr="000203B4">
        <w:rPr>
          <w:rFonts w:cs="Calibri"/>
        </w:rPr>
        <w:t>.</w:t>
      </w:r>
      <w:r w:rsidR="00944878" w:rsidRPr="000203B4">
        <w:rPr>
          <w:rFonts w:cs="Calibri"/>
        </w:rPr>
        <w:t xml:space="preserve"> </w:t>
      </w:r>
    </w:p>
    <w:p w14:paraId="2EAE0F69" w14:textId="77777777" w:rsidR="00D95976" w:rsidRPr="000203B4" w:rsidRDefault="00D95976" w:rsidP="00DE66A0">
      <w:pPr>
        <w:jc w:val="both"/>
        <w:rPr>
          <w:rFonts w:cs="Calibri"/>
        </w:rPr>
      </w:pPr>
    </w:p>
    <w:p w14:paraId="1A29B86E" w14:textId="3F9DF92D" w:rsidR="00F57BB7" w:rsidRPr="000203B4" w:rsidRDefault="00BE6A54" w:rsidP="00DE66A0">
      <w:pPr>
        <w:ind w:left="360" w:hanging="360"/>
        <w:jc w:val="both"/>
        <w:rPr>
          <w:rFonts w:cs="Calibri"/>
        </w:rPr>
      </w:pPr>
      <w:r w:rsidRPr="000203B4">
        <w:rPr>
          <w:rFonts w:cs="Calibri"/>
        </w:rPr>
        <w:t>3.2</w:t>
      </w:r>
      <w:r w:rsidRPr="000203B4">
        <w:rPr>
          <w:rFonts w:cs="Calibri"/>
        </w:rPr>
        <w:tab/>
      </w:r>
      <w:r w:rsidR="00837786" w:rsidRPr="000203B4">
        <w:rPr>
          <w:rFonts w:cs="Calibri"/>
        </w:rPr>
        <w:t xml:space="preserve">V souvislosti s vymáháním Dluhů Emitenta </w:t>
      </w:r>
      <w:r w:rsidR="00F01861" w:rsidRPr="000203B4">
        <w:rPr>
          <w:rFonts w:cs="Calibri"/>
        </w:rPr>
        <w:t xml:space="preserve">pověřuje </w:t>
      </w:r>
      <w:r w:rsidR="00AE39E6" w:rsidRPr="000203B4">
        <w:rPr>
          <w:rFonts w:cs="Calibri"/>
        </w:rPr>
        <w:t>S</w:t>
      </w:r>
      <w:r w:rsidR="00F01861" w:rsidRPr="000203B4">
        <w:rPr>
          <w:rFonts w:cs="Calibri"/>
        </w:rPr>
        <w:t>chůze</w:t>
      </w:r>
      <w:r w:rsidR="00AE39E6" w:rsidRPr="000203B4">
        <w:rPr>
          <w:rFonts w:cs="Calibri"/>
        </w:rPr>
        <w:t xml:space="preserve"> </w:t>
      </w:r>
      <w:r w:rsidR="00413ECF" w:rsidRPr="000203B4">
        <w:rPr>
          <w:rFonts w:cs="Calibri"/>
        </w:rPr>
        <w:t>Agenta pro zajištění</w:t>
      </w:r>
      <w:r w:rsidR="00F01861" w:rsidRPr="000203B4">
        <w:rPr>
          <w:rFonts w:cs="Calibri"/>
        </w:rPr>
        <w:t xml:space="preserve"> uplatněním </w:t>
      </w:r>
      <w:r w:rsidR="00CD2F31" w:rsidRPr="000203B4">
        <w:rPr>
          <w:rFonts w:cs="Calibri"/>
        </w:rPr>
        <w:t>nároků v nalézacím řízení vůči Emitentovi,</w:t>
      </w:r>
      <w:r w:rsidR="006F3375" w:rsidRPr="000203B4">
        <w:rPr>
          <w:rFonts w:cs="Calibri"/>
        </w:rPr>
        <w:t xml:space="preserve"> v případě úpadku Emitenta je </w:t>
      </w:r>
      <w:r w:rsidR="00413ECF" w:rsidRPr="000203B4">
        <w:rPr>
          <w:rFonts w:cs="Calibri"/>
        </w:rPr>
        <w:t xml:space="preserve">Agent pro zajištění </w:t>
      </w:r>
      <w:r w:rsidR="00AE39E6" w:rsidRPr="000203B4">
        <w:rPr>
          <w:rFonts w:cs="Calibri"/>
        </w:rPr>
        <w:t>oprávněn podat jako věřitel Dluhů vůči Emitentovi insolvenční návrh a/nebo při</w:t>
      </w:r>
      <w:r w:rsidR="00324F33" w:rsidRPr="000203B4">
        <w:rPr>
          <w:rFonts w:cs="Calibri"/>
        </w:rPr>
        <w:t>hlášku pohledávek z</w:t>
      </w:r>
      <w:r w:rsidR="00BC646B" w:rsidRPr="000203B4">
        <w:rPr>
          <w:rFonts w:cs="Calibri"/>
        </w:rPr>
        <w:t> </w:t>
      </w:r>
      <w:r w:rsidR="00324F33" w:rsidRPr="000203B4">
        <w:rPr>
          <w:rFonts w:cs="Calibri"/>
        </w:rPr>
        <w:t>Dluhů</w:t>
      </w:r>
      <w:r w:rsidR="00BC646B" w:rsidRPr="000203B4">
        <w:rPr>
          <w:rFonts w:cs="Calibri"/>
        </w:rPr>
        <w:t xml:space="preserve"> Emitenta</w:t>
      </w:r>
      <w:r w:rsidR="002D0B63" w:rsidRPr="000203B4">
        <w:rPr>
          <w:rFonts w:cs="Calibri"/>
        </w:rPr>
        <w:t xml:space="preserve"> a</w:t>
      </w:r>
      <w:r w:rsidR="006A2DEB" w:rsidRPr="000203B4">
        <w:rPr>
          <w:rFonts w:cs="Calibri"/>
        </w:rPr>
        <w:t> </w:t>
      </w:r>
      <w:r w:rsidR="002D0B63" w:rsidRPr="000203B4">
        <w:rPr>
          <w:rFonts w:cs="Calibri"/>
        </w:rPr>
        <w:t xml:space="preserve">uplatňovat práva věřitele v takovém insolvenčním řízení i </w:t>
      </w:r>
      <w:proofErr w:type="spellStart"/>
      <w:r w:rsidR="002D0B63" w:rsidRPr="000203B4">
        <w:rPr>
          <w:rFonts w:cs="Calibri"/>
        </w:rPr>
        <w:t>mimoinsolvenčně</w:t>
      </w:r>
      <w:proofErr w:type="spellEnd"/>
      <w:r w:rsidR="00324F33" w:rsidRPr="000203B4">
        <w:rPr>
          <w:rFonts w:cs="Calibri"/>
        </w:rPr>
        <w:t>.</w:t>
      </w:r>
    </w:p>
    <w:p w14:paraId="5D8D3560" w14:textId="77777777" w:rsidR="003309B5" w:rsidRPr="000203B4" w:rsidRDefault="003309B5" w:rsidP="003309B5">
      <w:pPr>
        <w:pStyle w:val="Odstavecseseznamem"/>
        <w:ind w:left="720"/>
        <w:jc w:val="both"/>
        <w:rPr>
          <w:rFonts w:cs="Calibri"/>
        </w:rPr>
      </w:pPr>
    </w:p>
    <w:p w14:paraId="00EF41E4" w14:textId="556885D7" w:rsidR="004B1C37" w:rsidRPr="000203B4" w:rsidRDefault="00ED1934" w:rsidP="00DE66A0">
      <w:pPr>
        <w:ind w:left="360" w:hanging="360"/>
        <w:jc w:val="both"/>
        <w:rPr>
          <w:rFonts w:cs="Calibri"/>
        </w:rPr>
      </w:pPr>
      <w:r w:rsidRPr="000203B4">
        <w:rPr>
          <w:rFonts w:cs="Calibri"/>
        </w:rPr>
        <w:t>3.3</w:t>
      </w:r>
      <w:r w:rsidRPr="000203B4">
        <w:rPr>
          <w:rFonts w:cs="Calibri"/>
        </w:rPr>
        <w:tab/>
      </w:r>
      <w:r w:rsidR="002A4C99" w:rsidRPr="000203B4">
        <w:rPr>
          <w:rFonts w:cs="Calibri"/>
        </w:rPr>
        <w:t xml:space="preserve">Schůze pověřuje </w:t>
      </w:r>
      <w:r w:rsidR="00413ECF" w:rsidRPr="000203B4">
        <w:rPr>
          <w:rFonts w:cs="Calibri"/>
        </w:rPr>
        <w:t xml:space="preserve">Agenta pro zajištění </w:t>
      </w:r>
      <w:r w:rsidR="007410ED" w:rsidRPr="000203B4">
        <w:rPr>
          <w:rFonts w:cs="Calibri"/>
        </w:rPr>
        <w:t>vymáh</w:t>
      </w:r>
      <w:r w:rsidR="00512709" w:rsidRPr="000203B4">
        <w:rPr>
          <w:rFonts w:cs="Calibri"/>
        </w:rPr>
        <w:t>áním</w:t>
      </w:r>
      <w:r w:rsidR="007410ED" w:rsidRPr="000203B4">
        <w:rPr>
          <w:rFonts w:cs="Calibri"/>
        </w:rPr>
        <w:t xml:space="preserve"> </w:t>
      </w:r>
      <w:r w:rsidR="00496196" w:rsidRPr="000203B4">
        <w:rPr>
          <w:rFonts w:cs="Calibri"/>
        </w:rPr>
        <w:t>D</w:t>
      </w:r>
      <w:r w:rsidR="007410ED" w:rsidRPr="000203B4">
        <w:rPr>
          <w:rFonts w:cs="Calibri"/>
        </w:rPr>
        <w:t>luh</w:t>
      </w:r>
      <w:r w:rsidR="00512709" w:rsidRPr="000203B4">
        <w:rPr>
          <w:rFonts w:cs="Calibri"/>
        </w:rPr>
        <w:t>ů</w:t>
      </w:r>
      <w:r w:rsidR="007410ED" w:rsidRPr="000203B4">
        <w:rPr>
          <w:rFonts w:cs="Calibri"/>
        </w:rPr>
        <w:t xml:space="preserve"> Emitenta </w:t>
      </w:r>
      <w:r w:rsidR="00512709" w:rsidRPr="000203B4">
        <w:rPr>
          <w:rFonts w:cs="Calibri"/>
        </w:rPr>
        <w:t xml:space="preserve">prostřednictvím </w:t>
      </w:r>
      <w:r w:rsidR="007410ED" w:rsidRPr="000203B4">
        <w:rPr>
          <w:rFonts w:cs="Calibri"/>
        </w:rPr>
        <w:t>realizac</w:t>
      </w:r>
      <w:r w:rsidR="00512709" w:rsidRPr="000203B4">
        <w:rPr>
          <w:rFonts w:cs="Calibri"/>
        </w:rPr>
        <w:t>e</w:t>
      </w:r>
      <w:r w:rsidR="007410ED" w:rsidRPr="000203B4">
        <w:rPr>
          <w:rFonts w:cs="Calibri"/>
        </w:rPr>
        <w:t xml:space="preserve"> zástavní</w:t>
      </w:r>
      <w:r w:rsidRPr="000203B4">
        <w:rPr>
          <w:rFonts w:cs="Calibri"/>
        </w:rPr>
        <w:t>ho</w:t>
      </w:r>
      <w:r w:rsidR="007410ED" w:rsidRPr="000203B4">
        <w:rPr>
          <w:rFonts w:cs="Calibri"/>
        </w:rPr>
        <w:t xml:space="preserve"> práv</w:t>
      </w:r>
      <w:r w:rsidRPr="000203B4">
        <w:rPr>
          <w:rFonts w:cs="Calibri"/>
        </w:rPr>
        <w:t xml:space="preserve">a </w:t>
      </w:r>
      <w:r w:rsidR="007410ED" w:rsidRPr="000203B4">
        <w:rPr>
          <w:rFonts w:cs="Calibri"/>
        </w:rPr>
        <w:t>zřízen</w:t>
      </w:r>
      <w:r w:rsidR="004F3BBE" w:rsidRPr="000203B4">
        <w:rPr>
          <w:rFonts w:cs="Calibri"/>
        </w:rPr>
        <w:t>ého</w:t>
      </w:r>
      <w:r w:rsidR="007410ED" w:rsidRPr="000203B4">
        <w:rPr>
          <w:rFonts w:cs="Calibri"/>
        </w:rPr>
        <w:t xml:space="preserve"> k </w:t>
      </w:r>
      <w:r w:rsidR="00B27B9D" w:rsidRPr="000203B4">
        <w:rPr>
          <w:rFonts w:cs="Calibri"/>
        </w:rPr>
        <w:t>zajištění Dluhů Emitenta</w:t>
      </w:r>
      <w:r w:rsidR="00F57BB7" w:rsidRPr="000203B4">
        <w:rPr>
          <w:rFonts w:cs="Calibri"/>
        </w:rPr>
        <w:t>.</w:t>
      </w:r>
      <w:r w:rsidR="00B27B9D" w:rsidRPr="000203B4">
        <w:rPr>
          <w:rFonts w:cs="Calibri"/>
        </w:rPr>
        <w:t xml:space="preserve"> </w:t>
      </w:r>
      <w:r w:rsidR="00F57BB7" w:rsidRPr="000203B4">
        <w:rPr>
          <w:rFonts w:cs="Calibri"/>
        </w:rPr>
        <w:t>Schůze stanoví</w:t>
      </w:r>
      <w:r w:rsidR="00324F33" w:rsidRPr="000203B4">
        <w:rPr>
          <w:rFonts w:cs="Calibri"/>
        </w:rPr>
        <w:t xml:space="preserve">, že </w:t>
      </w:r>
      <w:r w:rsidR="00783E55" w:rsidRPr="000203B4">
        <w:rPr>
          <w:rFonts w:cs="Calibri"/>
        </w:rPr>
        <w:t xml:space="preserve">realizace zástavního práva bude prováděna následujícími </w:t>
      </w:r>
      <w:r w:rsidR="00F44DDE" w:rsidRPr="000203B4">
        <w:rPr>
          <w:rFonts w:cs="Calibri"/>
        </w:rPr>
        <w:t xml:space="preserve">postupy a </w:t>
      </w:r>
      <w:r w:rsidR="00783E55" w:rsidRPr="000203B4">
        <w:rPr>
          <w:rFonts w:cs="Calibri"/>
        </w:rPr>
        <w:t>způsoby:</w:t>
      </w:r>
    </w:p>
    <w:p w14:paraId="5BC58257" w14:textId="77777777" w:rsidR="00B00897" w:rsidRPr="000203B4" w:rsidRDefault="00B00897" w:rsidP="007410ED">
      <w:pPr>
        <w:pStyle w:val="Odstavecseseznamem"/>
        <w:ind w:left="720"/>
        <w:jc w:val="both"/>
        <w:rPr>
          <w:rFonts w:cs="Calibri"/>
        </w:rPr>
      </w:pPr>
    </w:p>
    <w:p w14:paraId="04609990" w14:textId="53E36A3D" w:rsidR="00211353" w:rsidRPr="000203B4" w:rsidRDefault="001420E1" w:rsidP="00DE66A0">
      <w:pPr>
        <w:pStyle w:val="Odstavecseseznamem"/>
        <w:numPr>
          <w:ilvl w:val="0"/>
          <w:numId w:val="4"/>
        </w:numPr>
        <w:ind w:left="720"/>
        <w:jc w:val="both"/>
        <w:rPr>
          <w:rFonts w:cs="Calibri"/>
        </w:rPr>
      </w:pPr>
      <w:r w:rsidRPr="000203B4">
        <w:rPr>
          <w:rFonts w:cs="Calibri"/>
        </w:rPr>
        <w:t>soudním prodejem zástavy</w:t>
      </w:r>
      <w:r w:rsidR="00AE383F" w:rsidRPr="000203B4">
        <w:rPr>
          <w:rFonts w:cs="Calibri"/>
        </w:rPr>
        <w:t xml:space="preserve"> dle ustanovení § </w:t>
      </w:r>
      <w:r w:rsidR="00882E7F" w:rsidRPr="000203B4">
        <w:rPr>
          <w:rFonts w:cs="Calibri"/>
        </w:rPr>
        <w:t>353</w:t>
      </w:r>
      <w:r w:rsidR="007F5CF5" w:rsidRPr="000203B4">
        <w:rPr>
          <w:rFonts w:cs="Calibri"/>
        </w:rPr>
        <w:t>a a násl.</w:t>
      </w:r>
      <w:r w:rsidR="00882E7F" w:rsidRPr="000203B4">
        <w:rPr>
          <w:rFonts w:cs="Calibri"/>
        </w:rPr>
        <w:t xml:space="preserve"> zákona </w:t>
      </w:r>
      <w:r w:rsidR="006879F0" w:rsidRPr="000203B4">
        <w:rPr>
          <w:rFonts w:cs="Calibri"/>
        </w:rPr>
        <w:t>č. 292/2013 Sb., o zvláštních řízeních soudních, ve znění pozdějších předpisů</w:t>
      </w:r>
      <w:r w:rsidR="00801E2C" w:rsidRPr="000203B4">
        <w:rPr>
          <w:rFonts w:cs="Calibri"/>
        </w:rPr>
        <w:t>;</w:t>
      </w:r>
    </w:p>
    <w:p w14:paraId="18B363EE" w14:textId="77777777" w:rsidR="00324F33" w:rsidRPr="000203B4" w:rsidRDefault="00324F33" w:rsidP="00DE66A0">
      <w:pPr>
        <w:pStyle w:val="Odstavecseseznamem"/>
        <w:ind w:left="720"/>
        <w:jc w:val="both"/>
        <w:rPr>
          <w:rFonts w:cs="Calibri"/>
        </w:rPr>
      </w:pPr>
    </w:p>
    <w:p w14:paraId="16C83F18" w14:textId="2117672E" w:rsidR="00324F33" w:rsidRPr="000203B4" w:rsidRDefault="00324F33" w:rsidP="00DE66A0">
      <w:pPr>
        <w:pStyle w:val="Odstavecseseznamem"/>
        <w:numPr>
          <w:ilvl w:val="0"/>
          <w:numId w:val="4"/>
        </w:numPr>
        <w:ind w:left="720"/>
        <w:jc w:val="both"/>
        <w:rPr>
          <w:rFonts w:cs="Calibri"/>
        </w:rPr>
      </w:pPr>
      <w:r w:rsidRPr="000203B4">
        <w:rPr>
          <w:rFonts w:cs="Calibri"/>
        </w:rPr>
        <w:t xml:space="preserve">v případě splnění podmínek </w:t>
      </w:r>
      <w:r w:rsidR="00D26FDE" w:rsidRPr="000203B4">
        <w:rPr>
          <w:rFonts w:cs="Calibri"/>
        </w:rPr>
        <w:t>podle § 36 zákona č. 26/2000 Sb., o veřejných dražbách, ve znění pozdějších právních předpisů, též formou nedobrovolné dražby;</w:t>
      </w:r>
    </w:p>
    <w:p w14:paraId="39EB4613" w14:textId="77777777" w:rsidR="00801E2C" w:rsidRPr="000203B4" w:rsidRDefault="00801E2C" w:rsidP="00DE66A0">
      <w:pPr>
        <w:pStyle w:val="Odstavecseseznamem"/>
        <w:ind w:left="720"/>
        <w:jc w:val="both"/>
        <w:rPr>
          <w:rFonts w:cs="Calibri"/>
        </w:rPr>
      </w:pPr>
    </w:p>
    <w:p w14:paraId="735AF58C" w14:textId="5668891D" w:rsidR="00211353" w:rsidRPr="000203B4" w:rsidRDefault="00783E55" w:rsidP="00BE6A54">
      <w:pPr>
        <w:pStyle w:val="Odstavecseseznamem"/>
        <w:numPr>
          <w:ilvl w:val="0"/>
          <w:numId w:val="4"/>
        </w:numPr>
        <w:ind w:left="720"/>
        <w:jc w:val="both"/>
        <w:rPr>
          <w:rFonts w:cs="Calibri"/>
        </w:rPr>
      </w:pPr>
      <w:r w:rsidRPr="000203B4">
        <w:rPr>
          <w:rFonts w:cs="Calibri"/>
        </w:rPr>
        <w:t xml:space="preserve">v případě </w:t>
      </w:r>
      <w:r w:rsidR="00F25EF1" w:rsidRPr="000203B4">
        <w:rPr>
          <w:rFonts w:cs="Calibri"/>
        </w:rPr>
        <w:t xml:space="preserve">zjištění </w:t>
      </w:r>
      <w:r w:rsidRPr="000203B4">
        <w:rPr>
          <w:rFonts w:cs="Calibri"/>
        </w:rPr>
        <w:t xml:space="preserve">insolvence zástavního dlužníka </w:t>
      </w:r>
      <w:r w:rsidR="00882E7F" w:rsidRPr="000203B4">
        <w:rPr>
          <w:rFonts w:cs="Calibri"/>
        </w:rPr>
        <w:t>přihláškou pohledávky</w:t>
      </w:r>
      <w:r w:rsidR="00544F27" w:rsidRPr="000203B4">
        <w:rPr>
          <w:rFonts w:cs="Calibri"/>
        </w:rPr>
        <w:t xml:space="preserve"> </w:t>
      </w:r>
      <w:r w:rsidR="00882E7F" w:rsidRPr="000203B4">
        <w:rPr>
          <w:rFonts w:cs="Calibri"/>
        </w:rPr>
        <w:t>do insolvenčního řízení ve</w:t>
      </w:r>
      <w:r w:rsidR="00040BA6" w:rsidRPr="000203B4">
        <w:rPr>
          <w:rFonts w:cs="Calibri"/>
        </w:rPr>
        <w:t xml:space="preserve"> smyslu § 173 a </w:t>
      </w:r>
      <w:r w:rsidR="00F27F09" w:rsidRPr="000203B4">
        <w:rPr>
          <w:rFonts w:cs="Calibri"/>
        </w:rPr>
        <w:t>Insolvenčního zákona</w:t>
      </w:r>
      <w:r w:rsidR="00AF6D6B" w:rsidRPr="000203B4">
        <w:rPr>
          <w:rFonts w:cs="Calibri"/>
        </w:rPr>
        <w:t xml:space="preserve"> s tím, že </w:t>
      </w:r>
      <w:r w:rsidR="00482B3F" w:rsidRPr="000203B4">
        <w:rPr>
          <w:rFonts w:cs="Calibri"/>
        </w:rPr>
        <w:t>Agent pro zajištění</w:t>
      </w:r>
      <w:r w:rsidR="00280AAA" w:rsidRPr="000203B4">
        <w:rPr>
          <w:rFonts w:cs="Calibri"/>
        </w:rPr>
        <w:t xml:space="preserve"> vykonává práva zajištěného věřitele v insolvenčních řízeních</w:t>
      </w:r>
      <w:r w:rsidR="00F06848" w:rsidRPr="000203B4">
        <w:rPr>
          <w:rFonts w:cs="Calibri"/>
        </w:rPr>
        <w:t>.</w:t>
      </w:r>
      <w:r w:rsidR="00ED6B99" w:rsidRPr="000203B4">
        <w:rPr>
          <w:rFonts w:cs="Calibri"/>
        </w:rPr>
        <w:t xml:space="preserve"> </w:t>
      </w:r>
    </w:p>
    <w:p w14:paraId="4E8119E7" w14:textId="77777777" w:rsidR="004F3BBE" w:rsidRPr="000203B4" w:rsidRDefault="004F3BBE" w:rsidP="00DE66A0">
      <w:pPr>
        <w:pStyle w:val="Odstavecseseznamem"/>
        <w:rPr>
          <w:rFonts w:cs="Calibri"/>
        </w:rPr>
      </w:pPr>
    </w:p>
    <w:p w14:paraId="3F86D23E" w14:textId="6ED2A70B" w:rsidR="00AF0387" w:rsidRPr="00615DDF" w:rsidRDefault="00AF0387" w:rsidP="001D6B7D">
      <w:pPr>
        <w:ind w:left="360" w:hanging="360"/>
        <w:jc w:val="both"/>
        <w:rPr>
          <w:rFonts w:cs="Calibri"/>
        </w:rPr>
      </w:pPr>
      <w:r w:rsidRPr="000203B4">
        <w:rPr>
          <w:rFonts w:cs="Calibri"/>
        </w:rPr>
        <w:t>3.</w:t>
      </w:r>
      <w:r w:rsidR="00E51188">
        <w:rPr>
          <w:rFonts w:cs="Calibri"/>
        </w:rPr>
        <w:t>4</w:t>
      </w:r>
      <w:r w:rsidRPr="000203B4">
        <w:rPr>
          <w:rFonts w:cs="Calibri"/>
        </w:rPr>
        <w:tab/>
        <w:t xml:space="preserve">Schůze pověřuje Agenta pro zajištění, aby </w:t>
      </w:r>
      <w:r w:rsidR="001D6B7D" w:rsidRPr="000203B4">
        <w:rPr>
          <w:rFonts w:cs="Calibri"/>
        </w:rPr>
        <w:t xml:space="preserve">vlastníky Dluhopisů informoval v součinnosti s Emitentem a Administrátorem prostřednictvím internetových stránek </w:t>
      </w:r>
      <w:hyperlink r:id="rId9" w:history="1">
        <w:r w:rsidR="00AA4B7D" w:rsidRPr="000203B4">
          <w:rPr>
            <w:rStyle w:val="Hypertextovodkaz"/>
            <w:rFonts w:cs="Calibri"/>
          </w:rPr>
          <w:t>http://www.realityinvestingbond.cz/</w:t>
        </w:r>
      </w:hyperlink>
      <w:r w:rsidR="00AA4B7D" w:rsidRPr="00615DDF">
        <w:rPr>
          <w:rFonts w:cs="Calibri"/>
        </w:rPr>
        <w:t xml:space="preserve"> </w:t>
      </w:r>
      <w:r w:rsidR="008B0562" w:rsidRPr="000203B4">
        <w:rPr>
          <w:rFonts w:cs="Calibri"/>
        </w:rPr>
        <w:t>v </w:t>
      </w:r>
      <w:r w:rsidR="001D6B7D" w:rsidRPr="000203B4">
        <w:rPr>
          <w:rFonts w:cs="Calibri"/>
        </w:rPr>
        <w:t>části, v níž Emitent uveřejňuje informace o jím vydávaných dluhopisech</w:t>
      </w:r>
      <w:r w:rsidR="003E43F4" w:rsidRPr="000203B4">
        <w:rPr>
          <w:rFonts w:cs="Calibri"/>
        </w:rPr>
        <w:t>, a prostřednictvím</w:t>
      </w:r>
      <w:r w:rsidR="001D6B7D" w:rsidRPr="000203B4">
        <w:rPr>
          <w:rFonts w:cs="Calibri"/>
        </w:rPr>
        <w:t xml:space="preserve"> stránky </w:t>
      </w:r>
      <w:hyperlink r:id="rId10" w:history="1">
        <w:r w:rsidR="001D6B7D" w:rsidRPr="000203B4">
          <w:rPr>
            <w:rStyle w:val="Hypertextovodkaz"/>
            <w:rFonts w:cs="Calibri"/>
          </w:rPr>
          <w:t>http://www.ri-dluhopisy.cz</w:t>
        </w:r>
      </w:hyperlink>
      <w:r w:rsidRPr="00615DDF">
        <w:rPr>
          <w:rFonts w:cs="Calibri"/>
        </w:rPr>
        <w:t>.</w:t>
      </w:r>
    </w:p>
    <w:p w14:paraId="3DAB710C" w14:textId="77777777" w:rsidR="009916BB" w:rsidRPr="000203B4" w:rsidRDefault="009916BB" w:rsidP="002C6712">
      <w:pPr>
        <w:rPr>
          <w:rFonts w:cs="Calibri"/>
        </w:rPr>
      </w:pPr>
    </w:p>
    <w:p w14:paraId="751CBC30" w14:textId="77777777" w:rsidR="009916BB" w:rsidRPr="000203B4" w:rsidRDefault="009916BB" w:rsidP="002C6712">
      <w:pPr>
        <w:rPr>
          <w:rFonts w:cs="Calibri"/>
        </w:rPr>
        <w:sectPr w:rsidR="009916BB" w:rsidRPr="000203B4">
          <w:footerReference w:type="default" r:id="rId11"/>
          <w:pgSz w:w="11910" w:h="16840"/>
          <w:pgMar w:top="1340" w:right="1260" w:bottom="280" w:left="1300" w:header="708" w:footer="708" w:gutter="0"/>
          <w:cols w:space="708"/>
        </w:sectPr>
      </w:pPr>
    </w:p>
    <w:p w14:paraId="6A6C6DAE" w14:textId="675B7681" w:rsidR="009916BB" w:rsidRPr="00D67E85" w:rsidRDefault="006D226B" w:rsidP="002C6712">
      <w:pPr>
        <w:rPr>
          <w:rFonts w:cs="Calibri"/>
          <w:b/>
          <w:bCs/>
        </w:rPr>
      </w:pPr>
      <w:r w:rsidRPr="00615DDF">
        <w:rPr>
          <w:rFonts w:cs="Calibri"/>
          <w:b/>
          <w:bCs/>
        </w:rPr>
        <w:lastRenderedPageBreak/>
        <w:t>PŘÍLOHA Č. 2</w:t>
      </w:r>
      <w:r w:rsidRPr="007F1EA9">
        <w:rPr>
          <w:rFonts w:cs="Calibri"/>
          <w:b/>
          <w:bCs/>
        </w:rPr>
        <w:t xml:space="preserve"> - VZOR PLNÉ MOCI</w:t>
      </w:r>
    </w:p>
    <w:p w14:paraId="5CB889F2" w14:textId="77777777" w:rsidR="009916BB" w:rsidRPr="000203B4" w:rsidRDefault="0028297E" w:rsidP="009B5924">
      <w:pPr>
        <w:jc w:val="center"/>
        <w:rPr>
          <w:rFonts w:cs="Calibri"/>
          <w:b/>
          <w:bCs/>
        </w:rPr>
      </w:pPr>
      <w:r w:rsidRPr="000203B4">
        <w:rPr>
          <w:rFonts w:cs="Calibri"/>
          <w:b/>
          <w:bCs/>
        </w:rPr>
        <w:t>PLNÁ MOC</w:t>
      </w:r>
    </w:p>
    <w:p w14:paraId="2E90EBAC" w14:textId="77777777" w:rsidR="009B5924" w:rsidRPr="000203B4" w:rsidRDefault="009B5924" w:rsidP="009B5924">
      <w:pPr>
        <w:jc w:val="center"/>
        <w:rPr>
          <w:rFonts w:cs="Calibri"/>
          <w:b/>
          <w:bCs/>
        </w:rPr>
      </w:pPr>
    </w:p>
    <w:p w14:paraId="3CE08E83" w14:textId="77777777" w:rsidR="00A35B45" w:rsidRPr="000203B4" w:rsidRDefault="00A35B45" w:rsidP="00A35B45">
      <w:pPr>
        <w:rPr>
          <w:rFonts w:cs="Calibri"/>
        </w:rPr>
      </w:pPr>
      <w:r w:rsidRPr="000203B4">
        <w:rPr>
          <w:rFonts w:cs="Calibri"/>
        </w:rPr>
        <w:t>[U PRÁVNICKÉ OSOBY]</w:t>
      </w:r>
    </w:p>
    <w:p w14:paraId="0DC80C90" w14:textId="77777777" w:rsidR="00A35B45" w:rsidRPr="000203B4" w:rsidRDefault="00A35B45" w:rsidP="00A35B45">
      <w:pPr>
        <w:rPr>
          <w:rFonts w:cs="Calibri"/>
        </w:rPr>
      </w:pPr>
      <w:r w:rsidRPr="000203B4">
        <w:rPr>
          <w:rFonts w:cs="Calibri"/>
        </w:rPr>
        <w:t>________________, IČO: ________________, se sídlem ________________________________</w:t>
      </w:r>
    </w:p>
    <w:p w14:paraId="4E96A30A" w14:textId="77777777" w:rsidR="00A35B45" w:rsidRPr="000203B4" w:rsidRDefault="00A35B45" w:rsidP="00A35B45">
      <w:pPr>
        <w:rPr>
          <w:rFonts w:cs="Calibri"/>
        </w:rPr>
      </w:pPr>
    </w:p>
    <w:p w14:paraId="03F98F5A" w14:textId="77777777" w:rsidR="00A35B45" w:rsidRPr="000203B4" w:rsidRDefault="00A35B45" w:rsidP="00A35B45">
      <w:pPr>
        <w:rPr>
          <w:rFonts w:cs="Calibri"/>
        </w:rPr>
      </w:pPr>
      <w:r w:rsidRPr="000203B4">
        <w:rPr>
          <w:rFonts w:cs="Calibri"/>
        </w:rPr>
        <w:t>[U FYZICKÉ OSOBY]</w:t>
      </w:r>
    </w:p>
    <w:p w14:paraId="17FD2592" w14:textId="77777777" w:rsidR="00A35B45" w:rsidRPr="000203B4" w:rsidRDefault="00A35B45" w:rsidP="00A35B45">
      <w:pPr>
        <w:rPr>
          <w:rFonts w:cs="Calibri"/>
        </w:rPr>
      </w:pPr>
      <w:r w:rsidRPr="000203B4">
        <w:rPr>
          <w:rFonts w:cs="Calibri"/>
        </w:rPr>
        <w:t>________________, datum nar.: ________________, bytem ________________________________</w:t>
      </w:r>
    </w:p>
    <w:p w14:paraId="12B94C67" w14:textId="77777777" w:rsidR="009F363A" w:rsidRPr="00615DDF" w:rsidRDefault="009F363A" w:rsidP="002C6712">
      <w:pPr>
        <w:rPr>
          <w:rFonts w:cs="Calibri"/>
        </w:rPr>
      </w:pPr>
    </w:p>
    <w:p w14:paraId="69B4B97F" w14:textId="77777777" w:rsidR="009F363A" w:rsidRPr="000203B4" w:rsidRDefault="0028297E" w:rsidP="002C6712">
      <w:pPr>
        <w:rPr>
          <w:rFonts w:cs="Calibri"/>
        </w:rPr>
      </w:pPr>
      <w:r w:rsidRPr="00615DDF">
        <w:rPr>
          <w:rFonts w:cs="Calibri"/>
        </w:rPr>
        <w:t>(</w:t>
      </w:r>
      <w:r w:rsidR="009F363A" w:rsidRPr="007F1EA9">
        <w:rPr>
          <w:rFonts w:cs="Calibri"/>
        </w:rPr>
        <w:t xml:space="preserve">dále jen </w:t>
      </w:r>
      <w:r w:rsidRPr="00D67E85">
        <w:rPr>
          <w:rFonts w:cs="Calibri"/>
        </w:rPr>
        <w:t>„</w:t>
      </w:r>
      <w:r w:rsidRPr="000203B4">
        <w:rPr>
          <w:rFonts w:cs="Calibri"/>
          <w:b/>
          <w:bCs/>
        </w:rPr>
        <w:t>Zmocnitel</w:t>
      </w:r>
      <w:r w:rsidRPr="000203B4">
        <w:rPr>
          <w:rFonts w:cs="Calibri"/>
        </w:rPr>
        <w:t xml:space="preserve">“) </w:t>
      </w:r>
    </w:p>
    <w:p w14:paraId="553D322C" w14:textId="77777777" w:rsidR="009F363A" w:rsidRPr="000203B4" w:rsidRDefault="009F363A" w:rsidP="002C6712">
      <w:pPr>
        <w:rPr>
          <w:rFonts w:cs="Calibri"/>
        </w:rPr>
      </w:pPr>
    </w:p>
    <w:p w14:paraId="27BAB78C" w14:textId="77777777" w:rsidR="009916BB" w:rsidRPr="000203B4" w:rsidRDefault="0028297E" w:rsidP="009F363A">
      <w:pPr>
        <w:jc w:val="center"/>
        <w:rPr>
          <w:rFonts w:cs="Calibri"/>
        </w:rPr>
      </w:pPr>
      <w:r w:rsidRPr="000203B4">
        <w:rPr>
          <w:rFonts w:cs="Calibri"/>
        </w:rPr>
        <w:t>tímto zmocňuje</w:t>
      </w:r>
    </w:p>
    <w:p w14:paraId="0F95B817" w14:textId="77777777" w:rsidR="009F363A" w:rsidRPr="000203B4" w:rsidRDefault="009F363A" w:rsidP="009F363A">
      <w:pPr>
        <w:jc w:val="center"/>
        <w:rPr>
          <w:rFonts w:cs="Calibri"/>
        </w:rPr>
      </w:pPr>
    </w:p>
    <w:p w14:paraId="7DC409BE" w14:textId="77777777" w:rsidR="009F363A" w:rsidRPr="000203B4" w:rsidRDefault="009F363A" w:rsidP="009F363A">
      <w:pPr>
        <w:rPr>
          <w:rFonts w:cs="Calibri"/>
        </w:rPr>
      </w:pPr>
      <w:r w:rsidRPr="000203B4">
        <w:rPr>
          <w:rFonts w:cs="Calibri"/>
        </w:rPr>
        <w:t>________________, nar. ________________, bytem __________________________________</w:t>
      </w:r>
    </w:p>
    <w:p w14:paraId="64B6B17C" w14:textId="77777777" w:rsidR="009F363A" w:rsidRPr="000203B4" w:rsidRDefault="009F363A" w:rsidP="009F363A">
      <w:pPr>
        <w:jc w:val="center"/>
        <w:rPr>
          <w:rFonts w:cs="Calibri"/>
        </w:rPr>
      </w:pPr>
    </w:p>
    <w:p w14:paraId="4FC3DECD" w14:textId="77777777" w:rsidR="009916BB" w:rsidRPr="000203B4" w:rsidRDefault="0028297E" w:rsidP="002C6712">
      <w:pPr>
        <w:rPr>
          <w:rFonts w:cs="Calibri"/>
        </w:rPr>
      </w:pPr>
      <w:r w:rsidRPr="000203B4">
        <w:rPr>
          <w:rFonts w:cs="Calibri"/>
        </w:rPr>
        <w:t>(</w:t>
      </w:r>
      <w:r w:rsidR="00972BA6" w:rsidRPr="000203B4">
        <w:rPr>
          <w:rFonts w:cs="Calibri"/>
        </w:rPr>
        <w:t xml:space="preserve">dále jen </w:t>
      </w:r>
      <w:r w:rsidRPr="000203B4">
        <w:rPr>
          <w:rFonts w:cs="Calibri"/>
        </w:rPr>
        <w:t>„</w:t>
      </w:r>
      <w:r w:rsidRPr="000203B4">
        <w:rPr>
          <w:rFonts w:cs="Calibri"/>
          <w:b/>
          <w:bCs/>
        </w:rPr>
        <w:t>Zmocněnec</w:t>
      </w:r>
      <w:r w:rsidRPr="000203B4">
        <w:rPr>
          <w:rFonts w:cs="Calibri"/>
        </w:rPr>
        <w:t>“)</w:t>
      </w:r>
    </w:p>
    <w:p w14:paraId="284748DF" w14:textId="77777777" w:rsidR="00972BA6" w:rsidRPr="000203B4" w:rsidRDefault="00972BA6" w:rsidP="002C6712">
      <w:pPr>
        <w:rPr>
          <w:rFonts w:cs="Calibri"/>
        </w:rPr>
      </w:pPr>
    </w:p>
    <w:p w14:paraId="51C36A27" w14:textId="162B7318" w:rsidR="009916BB" w:rsidRPr="000203B4" w:rsidRDefault="0028297E" w:rsidP="00855277">
      <w:pPr>
        <w:jc w:val="both"/>
        <w:rPr>
          <w:rFonts w:cs="Calibri"/>
        </w:rPr>
      </w:pPr>
      <w:r w:rsidRPr="000203B4">
        <w:rPr>
          <w:rFonts w:cs="Calibri"/>
        </w:rPr>
        <w:t>k zastupování Zmocnitele, jakožto vlastníka</w:t>
      </w:r>
      <w:r w:rsidR="00283B3F" w:rsidRPr="000203B4">
        <w:rPr>
          <w:rFonts w:cs="Calibri"/>
        </w:rPr>
        <w:t xml:space="preserve"> </w:t>
      </w:r>
      <w:r w:rsidR="00972BA6" w:rsidRPr="000203B4">
        <w:rPr>
          <w:rFonts w:cs="Calibri"/>
        </w:rPr>
        <w:t xml:space="preserve">__________ </w:t>
      </w:r>
      <w:r w:rsidRPr="000203B4">
        <w:rPr>
          <w:rFonts w:cs="Calibri"/>
        </w:rPr>
        <w:t>ks dluhopisů</w:t>
      </w:r>
      <w:r w:rsidR="00B22219" w:rsidRPr="000203B4">
        <w:rPr>
          <w:rFonts w:cs="Calibri"/>
        </w:rPr>
        <w:t xml:space="preserve"> </w:t>
      </w:r>
      <w:r w:rsidRPr="000203B4">
        <w:rPr>
          <w:rFonts w:cs="Calibri"/>
        </w:rPr>
        <w:t xml:space="preserve">s názvem </w:t>
      </w:r>
      <w:r w:rsidR="00855277" w:rsidRPr="000203B4">
        <w:rPr>
          <w:rFonts w:cs="Calibri"/>
        </w:rPr>
        <w:t xml:space="preserve">Dluhopis </w:t>
      </w:r>
      <w:r w:rsidR="00F86D26" w:rsidRPr="00615DDF">
        <w:rPr>
          <w:rFonts w:cs="Calibri"/>
        </w:rPr>
        <w:fldChar w:fldCharType="begin"/>
      </w:r>
      <w:r w:rsidR="00F86D26" w:rsidRPr="000203B4">
        <w:rPr>
          <w:rFonts w:cs="Calibri"/>
        </w:rPr>
        <w:instrText xml:space="preserve"> REF emise \h </w:instrText>
      </w:r>
      <w:r w:rsidR="00F36919" w:rsidRPr="000203B4">
        <w:rPr>
          <w:rFonts w:cs="Calibri"/>
        </w:rPr>
        <w:instrText xml:space="preserve"> \* MERGEFORMAT </w:instrText>
      </w:r>
      <w:r w:rsidR="00F86D26" w:rsidRPr="00615DDF">
        <w:rPr>
          <w:rFonts w:cs="Calibri"/>
        </w:rPr>
      </w:r>
      <w:r w:rsidR="00F86D26" w:rsidRPr="00615DDF">
        <w:rPr>
          <w:rFonts w:cs="Calibri"/>
        </w:rPr>
        <w:fldChar w:fldCharType="separate"/>
      </w:r>
      <w:r w:rsidR="00986570" w:rsidRPr="000203B4">
        <w:rPr>
          <w:rFonts w:cs="Calibri"/>
        </w:rPr>
        <w:t xml:space="preserve">Reality </w:t>
      </w:r>
      <w:proofErr w:type="spellStart"/>
      <w:r w:rsidR="00986570" w:rsidRPr="000203B4">
        <w:rPr>
          <w:rFonts w:cs="Calibri"/>
        </w:rPr>
        <w:t>Investing</w:t>
      </w:r>
      <w:proofErr w:type="spellEnd"/>
      <w:r w:rsidR="00986570" w:rsidRPr="000203B4">
        <w:rPr>
          <w:rFonts w:cs="Calibri"/>
        </w:rPr>
        <w:t xml:space="preserve"> 2017</w:t>
      </w:r>
      <w:r w:rsidR="00F86D26" w:rsidRPr="00615DDF">
        <w:rPr>
          <w:rFonts w:cs="Calibri"/>
        </w:rPr>
        <w:fldChar w:fldCharType="end"/>
      </w:r>
      <w:r w:rsidR="00C2636A" w:rsidRPr="00615DDF">
        <w:rPr>
          <w:rFonts w:cs="Calibri"/>
        </w:rPr>
        <w:t xml:space="preserve">, ISIN: </w:t>
      </w:r>
      <w:r w:rsidR="00C2636A" w:rsidRPr="00615DDF">
        <w:rPr>
          <w:rFonts w:cs="Calibri"/>
        </w:rPr>
        <w:fldChar w:fldCharType="begin"/>
      </w:r>
      <w:r w:rsidR="00C2636A" w:rsidRPr="000203B4">
        <w:rPr>
          <w:rFonts w:cs="Calibri"/>
        </w:rPr>
        <w:instrText xml:space="preserve"> REF ISIN \h </w:instrText>
      </w:r>
      <w:r w:rsidR="00F36919" w:rsidRPr="000203B4">
        <w:rPr>
          <w:rFonts w:cs="Calibri"/>
        </w:rPr>
        <w:instrText xml:space="preserve"> \* MERGEFORMAT </w:instrText>
      </w:r>
      <w:r w:rsidR="00C2636A" w:rsidRPr="00615DDF">
        <w:rPr>
          <w:rFonts w:cs="Calibri"/>
        </w:rPr>
      </w:r>
      <w:r w:rsidR="00C2636A" w:rsidRPr="00615DDF">
        <w:rPr>
          <w:rFonts w:cs="Calibri"/>
        </w:rPr>
        <w:fldChar w:fldCharType="separate"/>
      </w:r>
      <w:r w:rsidR="00986570" w:rsidRPr="000203B4">
        <w:rPr>
          <w:rFonts w:cs="Calibri"/>
        </w:rPr>
        <w:t>SK4210000952</w:t>
      </w:r>
      <w:r w:rsidR="00C2636A" w:rsidRPr="00615DDF">
        <w:rPr>
          <w:rFonts w:cs="Calibri"/>
        </w:rPr>
        <w:fldChar w:fldCharType="end"/>
      </w:r>
      <w:r w:rsidR="00B22219" w:rsidRPr="000203B4">
        <w:rPr>
          <w:rFonts w:cs="Calibri"/>
          <w:b/>
          <w:bCs/>
        </w:rPr>
        <w:t xml:space="preserve"> </w:t>
      </w:r>
      <w:r w:rsidR="00B22219" w:rsidRPr="000203B4">
        <w:rPr>
          <w:rFonts w:cs="Calibri"/>
        </w:rPr>
        <w:t xml:space="preserve">o jmenovité hodnotě každého dluhopisu </w:t>
      </w:r>
      <w:r w:rsidR="00283B3F" w:rsidRPr="000203B4">
        <w:rPr>
          <w:rFonts w:cs="Calibri"/>
        </w:rPr>
        <w:t xml:space="preserve">ve výši </w:t>
      </w:r>
      <w:r w:rsidR="005765E6">
        <w:rPr>
          <w:rFonts w:cs="Calibri"/>
        </w:rPr>
        <w:t>30</w:t>
      </w:r>
      <w:r w:rsidR="002D20F3" w:rsidRPr="000203B4">
        <w:rPr>
          <w:rFonts w:cs="Calibri"/>
        </w:rPr>
        <w:t>.</w:t>
      </w:r>
      <w:r w:rsidRPr="000203B4">
        <w:rPr>
          <w:rFonts w:cs="Calibri"/>
        </w:rPr>
        <w:t>000,- Kč (</w:t>
      </w:r>
      <w:r w:rsidR="005765E6">
        <w:rPr>
          <w:rFonts w:cs="Calibri"/>
        </w:rPr>
        <w:t xml:space="preserve">třicet </w:t>
      </w:r>
      <w:r w:rsidRPr="000203B4">
        <w:rPr>
          <w:rFonts w:cs="Calibri"/>
        </w:rPr>
        <w:t>tisíc korun českých)</w:t>
      </w:r>
      <w:r w:rsidR="00B22219" w:rsidRPr="000203B4">
        <w:rPr>
          <w:rFonts w:cs="Calibri"/>
        </w:rPr>
        <w:t xml:space="preserve"> </w:t>
      </w:r>
      <w:r w:rsidRPr="000203B4">
        <w:rPr>
          <w:rFonts w:cs="Calibri"/>
        </w:rPr>
        <w:t>emitovan</w:t>
      </w:r>
      <w:r w:rsidR="00B22219" w:rsidRPr="000203B4">
        <w:rPr>
          <w:rFonts w:cs="Calibri"/>
        </w:rPr>
        <w:t xml:space="preserve">ých dne </w:t>
      </w:r>
      <w:r w:rsidR="00E1227F" w:rsidRPr="000203B4">
        <w:rPr>
          <w:rFonts w:cs="Calibri"/>
        </w:rPr>
        <w:t xml:space="preserve">1. </w:t>
      </w:r>
      <w:r w:rsidR="00BC692D">
        <w:rPr>
          <w:rFonts w:cs="Calibri"/>
        </w:rPr>
        <w:t xml:space="preserve">září </w:t>
      </w:r>
      <w:r w:rsidR="00E1227F" w:rsidRPr="000203B4">
        <w:rPr>
          <w:rFonts w:cs="Calibri"/>
        </w:rPr>
        <w:t>201</w:t>
      </w:r>
      <w:r w:rsidR="00E17661">
        <w:rPr>
          <w:rFonts w:cs="Calibri"/>
        </w:rPr>
        <w:t>7</w:t>
      </w:r>
      <w:r w:rsidR="00E1227F" w:rsidRPr="000203B4">
        <w:rPr>
          <w:rFonts w:cs="Calibri"/>
        </w:rPr>
        <w:t xml:space="preserve"> </w:t>
      </w:r>
      <w:r w:rsidRPr="000203B4">
        <w:rPr>
          <w:rFonts w:cs="Calibri"/>
        </w:rPr>
        <w:t xml:space="preserve">společností </w:t>
      </w:r>
      <w:r w:rsidR="00C42964">
        <w:rPr>
          <w:rFonts w:cs="Calibri"/>
        </w:rPr>
        <w:fldChar w:fldCharType="begin"/>
      </w:r>
      <w:r w:rsidR="00C42964">
        <w:rPr>
          <w:rFonts w:cs="Calibri"/>
        </w:rPr>
        <w:instrText xml:space="preserve"> REF emitent \h </w:instrText>
      </w:r>
      <w:r w:rsidR="00C42964">
        <w:rPr>
          <w:rFonts w:cs="Calibri"/>
        </w:rPr>
      </w:r>
      <w:r w:rsidR="00C42964">
        <w:rPr>
          <w:rFonts w:cs="Calibri"/>
        </w:rPr>
        <w:fldChar w:fldCharType="separate"/>
      </w:r>
      <w:r w:rsidR="00986570" w:rsidRPr="000203B4">
        <w:rPr>
          <w:rFonts w:cs="Calibri"/>
          <w:b/>
          <w:bCs/>
        </w:rPr>
        <w:t>REALITY INVESTING Bond, a.s.</w:t>
      </w:r>
      <w:r w:rsidR="00C42964">
        <w:rPr>
          <w:rFonts w:cs="Calibri"/>
        </w:rPr>
        <w:fldChar w:fldCharType="end"/>
      </w:r>
      <w:r w:rsidR="00E1227F" w:rsidRPr="000203B4">
        <w:rPr>
          <w:rFonts w:cs="Calibri"/>
        </w:rPr>
        <w:t xml:space="preserve">, IČO: </w:t>
      </w:r>
      <w:r w:rsidR="00C42964">
        <w:rPr>
          <w:rFonts w:cs="Calibri"/>
        </w:rPr>
        <w:fldChar w:fldCharType="begin"/>
      </w:r>
      <w:r w:rsidR="00C42964">
        <w:rPr>
          <w:rFonts w:cs="Calibri"/>
        </w:rPr>
        <w:instrText xml:space="preserve"> REF emitent_ICO \h </w:instrText>
      </w:r>
      <w:r w:rsidR="00C42964">
        <w:rPr>
          <w:rFonts w:cs="Calibri"/>
        </w:rPr>
      </w:r>
      <w:r w:rsidR="00C42964">
        <w:rPr>
          <w:rFonts w:cs="Calibri"/>
        </w:rPr>
        <w:fldChar w:fldCharType="separate"/>
      </w:r>
      <w:r w:rsidR="00986570" w:rsidRPr="000203B4">
        <w:rPr>
          <w:rFonts w:cs="Calibri"/>
        </w:rPr>
        <w:t>02206846</w:t>
      </w:r>
      <w:r w:rsidR="00C42964">
        <w:rPr>
          <w:rFonts w:cs="Calibri"/>
        </w:rPr>
        <w:fldChar w:fldCharType="end"/>
      </w:r>
      <w:r w:rsidR="00E1227F" w:rsidRPr="000203B4">
        <w:rPr>
          <w:rFonts w:cs="Calibri"/>
        </w:rPr>
        <w:t xml:space="preserve">, se sídlem Bezová 1658/1, Braník, 147 00 Praha 4, zapsanou v obchodním rejstříku vedeném Městským soudem v Praze pod </w:t>
      </w:r>
      <w:proofErr w:type="spellStart"/>
      <w:r w:rsidR="00E1227F" w:rsidRPr="000203B4">
        <w:rPr>
          <w:rFonts w:cs="Calibri"/>
        </w:rPr>
        <w:t>sp</w:t>
      </w:r>
      <w:proofErr w:type="spellEnd"/>
      <w:r w:rsidR="00E1227F" w:rsidRPr="000203B4">
        <w:rPr>
          <w:rFonts w:cs="Calibri"/>
        </w:rPr>
        <w:t xml:space="preserve">. zn. </w:t>
      </w:r>
      <w:r w:rsidR="00C42964">
        <w:rPr>
          <w:rFonts w:cs="Calibri"/>
        </w:rPr>
        <w:fldChar w:fldCharType="begin"/>
      </w:r>
      <w:r w:rsidR="00C42964">
        <w:rPr>
          <w:rFonts w:cs="Calibri"/>
        </w:rPr>
        <w:instrText xml:space="preserve"> REF emitent_spzn \h </w:instrText>
      </w:r>
      <w:r w:rsidR="00C42964">
        <w:rPr>
          <w:rFonts w:cs="Calibri"/>
        </w:rPr>
      </w:r>
      <w:r w:rsidR="00C42964">
        <w:rPr>
          <w:rFonts w:cs="Calibri"/>
        </w:rPr>
        <w:fldChar w:fldCharType="separate"/>
      </w:r>
      <w:r w:rsidR="00986570" w:rsidRPr="000203B4">
        <w:rPr>
          <w:rFonts w:cs="Calibri"/>
        </w:rPr>
        <w:t>C 257082</w:t>
      </w:r>
      <w:r w:rsidR="00C42964">
        <w:rPr>
          <w:rFonts w:cs="Calibri"/>
        </w:rPr>
        <w:fldChar w:fldCharType="end"/>
      </w:r>
      <w:r w:rsidR="00C42964">
        <w:rPr>
          <w:rFonts w:cs="Calibri"/>
        </w:rPr>
        <w:t xml:space="preserve"> </w:t>
      </w:r>
      <w:r w:rsidR="00EE5113" w:rsidRPr="000203B4">
        <w:rPr>
          <w:rFonts w:cs="Calibri"/>
        </w:rPr>
        <w:t>(dále jen „</w:t>
      </w:r>
      <w:r w:rsidR="00EE5113" w:rsidRPr="000203B4">
        <w:rPr>
          <w:rFonts w:cs="Calibri"/>
          <w:b/>
          <w:bCs/>
        </w:rPr>
        <w:t>Emitent</w:t>
      </w:r>
      <w:r w:rsidR="00EE5113" w:rsidRPr="000203B4">
        <w:rPr>
          <w:rFonts w:cs="Calibri"/>
        </w:rPr>
        <w:t>“),</w:t>
      </w:r>
      <w:r w:rsidR="00982F9D" w:rsidRPr="000203B4">
        <w:rPr>
          <w:rFonts w:cs="Calibri"/>
        </w:rPr>
        <w:t xml:space="preserve"> a to na schůzi vlastníků dluhopisů svolanou Emitentem na </w:t>
      </w:r>
      <w:r w:rsidR="005A4CF1" w:rsidRPr="000203B4">
        <w:rPr>
          <w:rFonts w:cs="Calibri"/>
        </w:rPr>
        <w:t xml:space="preserve">den </w:t>
      </w:r>
      <w:r w:rsidR="00D705B7" w:rsidRPr="00615DDF">
        <w:rPr>
          <w:rFonts w:cs="Calibri"/>
        </w:rPr>
        <w:fldChar w:fldCharType="begin"/>
      </w:r>
      <w:r w:rsidR="00D705B7" w:rsidRPr="000203B4">
        <w:rPr>
          <w:rFonts w:cs="Calibri"/>
        </w:rPr>
        <w:instrText xml:space="preserve"> REF Datum_cas_schuze \h  \* MERGEFORMAT </w:instrText>
      </w:r>
      <w:r w:rsidR="00D705B7" w:rsidRPr="00615DDF">
        <w:rPr>
          <w:rFonts w:cs="Calibri"/>
        </w:rPr>
      </w:r>
      <w:r w:rsidR="00D705B7" w:rsidRPr="00615DDF">
        <w:rPr>
          <w:rFonts w:cs="Calibri"/>
        </w:rPr>
        <w:fldChar w:fldCharType="separate"/>
      </w:r>
      <w:r w:rsidR="00986570" w:rsidRPr="00986570">
        <w:rPr>
          <w:rFonts w:cs="Calibri"/>
        </w:rPr>
        <w:t>21. 10. 2021 v 16 hodin</w:t>
      </w:r>
      <w:r w:rsidR="00D705B7" w:rsidRPr="00615DDF">
        <w:rPr>
          <w:rFonts w:cs="Calibri"/>
        </w:rPr>
        <w:fldChar w:fldCharType="end"/>
      </w:r>
      <w:r w:rsidR="00982F9D" w:rsidRPr="000203B4">
        <w:rPr>
          <w:rFonts w:cs="Calibri"/>
        </w:rPr>
        <w:t>, případně na jakékoliv náhradní schůzi (dále jen „</w:t>
      </w:r>
      <w:r w:rsidR="00982F9D" w:rsidRPr="000203B4">
        <w:rPr>
          <w:rFonts w:cs="Calibri"/>
          <w:b/>
          <w:bCs/>
        </w:rPr>
        <w:t>Schůze</w:t>
      </w:r>
      <w:r w:rsidR="00982F9D" w:rsidRPr="000203B4">
        <w:rPr>
          <w:rFonts w:cs="Calibri"/>
        </w:rPr>
        <w:t>“)</w:t>
      </w:r>
      <w:r w:rsidR="008F2C86" w:rsidRPr="000203B4">
        <w:rPr>
          <w:rFonts w:cs="Calibri"/>
        </w:rPr>
        <w:t>,</w:t>
      </w:r>
      <w:r w:rsidR="00982F9D" w:rsidRPr="000203B4">
        <w:rPr>
          <w:rFonts w:cs="Calibri"/>
        </w:rPr>
        <w:t xml:space="preserve"> </w:t>
      </w:r>
      <w:r w:rsidRPr="000203B4">
        <w:rPr>
          <w:rFonts w:cs="Calibri"/>
        </w:rPr>
        <w:t>a v této souvislosti aby za Zmocnitele jednal, podepisoval, vykonával veškeré jednání a úkony a podniknul jakékoliv další kroky, které mohou být nezbytné či příslušným právem vyžadované.</w:t>
      </w:r>
    </w:p>
    <w:p w14:paraId="50CC3D86" w14:textId="77777777" w:rsidR="00982F9D" w:rsidRPr="000203B4" w:rsidRDefault="00982F9D" w:rsidP="00855277">
      <w:pPr>
        <w:jc w:val="both"/>
        <w:rPr>
          <w:rFonts w:cs="Calibri"/>
        </w:rPr>
      </w:pPr>
    </w:p>
    <w:p w14:paraId="466111F9" w14:textId="77777777" w:rsidR="009916BB" w:rsidRPr="000203B4" w:rsidRDefault="0028297E" w:rsidP="00855277">
      <w:pPr>
        <w:jc w:val="both"/>
        <w:rPr>
          <w:rFonts w:cs="Calibri"/>
        </w:rPr>
      </w:pPr>
      <w:r w:rsidRPr="000203B4">
        <w:rPr>
          <w:rFonts w:cs="Calibri"/>
        </w:rPr>
        <w:t>Zmocněnec je tak oprávněn zejména, nikoliv však výlučně (i) účastnit se řádné a náhradní schůze vlastníků dluhopisů, bude-li se konat</w:t>
      </w:r>
      <w:r w:rsidR="00982F9D" w:rsidRPr="000203B4">
        <w:rPr>
          <w:rFonts w:cs="Calibri"/>
        </w:rPr>
        <w:t>,</w:t>
      </w:r>
      <w:r w:rsidRPr="000203B4">
        <w:rPr>
          <w:rFonts w:cs="Calibri"/>
        </w:rPr>
        <w:t xml:space="preserve"> (</w:t>
      </w:r>
      <w:proofErr w:type="spellStart"/>
      <w:r w:rsidRPr="000203B4">
        <w:rPr>
          <w:rFonts w:cs="Calibri"/>
        </w:rPr>
        <w:t>ii</w:t>
      </w:r>
      <w:proofErr w:type="spellEnd"/>
      <w:r w:rsidRPr="000203B4">
        <w:rPr>
          <w:rFonts w:cs="Calibri"/>
        </w:rPr>
        <w:t>) potvrdit účast Zmocnitele na Schůzi; (</w:t>
      </w:r>
      <w:proofErr w:type="spellStart"/>
      <w:r w:rsidRPr="000203B4">
        <w:rPr>
          <w:rFonts w:cs="Calibri"/>
        </w:rPr>
        <w:t>iii</w:t>
      </w:r>
      <w:proofErr w:type="spellEnd"/>
      <w:r w:rsidRPr="000203B4">
        <w:rPr>
          <w:rFonts w:cs="Calibri"/>
        </w:rPr>
        <w:t>) prohlásit za Zmocnitele, že mu bylo konání Schůze řádně oznámeno; (</w:t>
      </w:r>
      <w:proofErr w:type="spellStart"/>
      <w:r w:rsidRPr="000203B4">
        <w:rPr>
          <w:rFonts w:cs="Calibri"/>
        </w:rPr>
        <w:t>iv</w:t>
      </w:r>
      <w:proofErr w:type="spellEnd"/>
      <w:r w:rsidRPr="000203B4">
        <w:rPr>
          <w:rFonts w:cs="Calibri"/>
        </w:rPr>
        <w:t xml:space="preserve">) vykonávat na Schůzi hlasovací práva spojená s Dluhopisy ve vlastnictví Zmocnitele; (v) schválit změnu programu Schůze a vykonávat na Schůzi hlasovací práva spojená s </w:t>
      </w:r>
      <w:r w:rsidR="00982F9D" w:rsidRPr="000203B4">
        <w:rPr>
          <w:rFonts w:cs="Calibri"/>
        </w:rPr>
        <w:t>d</w:t>
      </w:r>
      <w:r w:rsidRPr="000203B4">
        <w:rPr>
          <w:rFonts w:cs="Calibri"/>
        </w:rPr>
        <w:t>luhopisy ve vlastnictví Zmocnitele ohledně návrhů usnesení, které nebyly uvedeny na programu Schůze v oznámení o jejím svolání; (</w:t>
      </w:r>
      <w:proofErr w:type="spellStart"/>
      <w:r w:rsidRPr="000203B4">
        <w:rPr>
          <w:rFonts w:cs="Calibri"/>
        </w:rPr>
        <w:t>vi</w:t>
      </w:r>
      <w:proofErr w:type="spellEnd"/>
      <w:r w:rsidRPr="000203B4">
        <w:rPr>
          <w:rFonts w:cs="Calibri"/>
        </w:rPr>
        <w:t>) učinit jakékoliv další právní jednání a úkony a vzít na vědomí jakékoli další skutečnosti týkající se Schůze a vyhotovit a podepsat jakékoliv listiny, dokumenty a notářské zápisy, které jsou nezbytné nebo budou vyžadovány v souvislosti s body popsanými výše.</w:t>
      </w:r>
    </w:p>
    <w:p w14:paraId="14FB6490" w14:textId="77777777" w:rsidR="00982F9D" w:rsidRPr="000203B4" w:rsidRDefault="00982F9D" w:rsidP="00855277">
      <w:pPr>
        <w:jc w:val="both"/>
        <w:rPr>
          <w:rFonts w:cs="Calibri"/>
        </w:rPr>
      </w:pPr>
    </w:p>
    <w:p w14:paraId="0B4D9965" w14:textId="77777777" w:rsidR="0055437B" w:rsidRPr="000203B4" w:rsidRDefault="0028297E" w:rsidP="00855277">
      <w:pPr>
        <w:jc w:val="both"/>
        <w:rPr>
          <w:rFonts w:cs="Calibri"/>
        </w:rPr>
      </w:pPr>
      <w:r w:rsidRPr="000203B4">
        <w:rPr>
          <w:rFonts w:cs="Calibri"/>
        </w:rPr>
        <w:t xml:space="preserve">Zmocněnec je povinen dodržovat pokyny Zmocnitele, jsou-li Zmocněnci pokyny Zmocnitele známé. </w:t>
      </w:r>
    </w:p>
    <w:p w14:paraId="3B026A32" w14:textId="77777777" w:rsidR="0055437B" w:rsidRPr="000203B4" w:rsidRDefault="0055437B" w:rsidP="00855277">
      <w:pPr>
        <w:jc w:val="both"/>
        <w:rPr>
          <w:rFonts w:cs="Calibri"/>
        </w:rPr>
      </w:pPr>
    </w:p>
    <w:p w14:paraId="66B0C3F9" w14:textId="77777777" w:rsidR="009916BB" w:rsidRPr="000203B4" w:rsidRDefault="0028297E" w:rsidP="00855277">
      <w:pPr>
        <w:jc w:val="both"/>
        <w:rPr>
          <w:rFonts w:cs="Calibri"/>
        </w:rPr>
      </w:pPr>
      <w:r w:rsidRPr="000203B4">
        <w:rPr>
          <w:rFonts w:cs="Calibri"/>
        </w:rPr>
        <w:t>Zmocněnec je oprávněn učinit veškeré další právní úkony, které Zmocněnec v souvislosti s výše uvedeným zmocněním považuje za nezbytné nebo vhodné k ochraně zájmů Zmocnitele. Zmocněnec je oprávněn zmocnit ve stejném rozsahu jinou osobu. Tuto plnou moc je nutno vykládat co nejšíře tak, aby bylo vždy možno dosáhnout jejího právního a ekonomického účelu. V souvislosti s výše uvedenými záležitostmi lze tuto plnou moc použít opakovaně. Tato plná moc a její výklad se řídí právními předpisy České republiky.</w:t>
      </w:r>
    </w:p>
    <w:p w14:paraId="265B100F" w14:textId="77777777" w:rsidR="008464C2" w:rsidRPr="000203B4" w:rsidRDefault="008464C2" w:rsidP="00855277">
      <w:pPr>
        <w:jc w:val="both"/>
        <w:rPr>
          <w:rFonts w:cs="Calibri"/>
        </w:rPr>
      </w:pPr>
    </w:p>
    <w:p w14:paraId="0377FFDF" w14:textId="77777777" w:rsidR="005A4CF1" w:rsidRPr="000203B4" w:rsidRDefault="005A4CF1" w:rsidP="005A4CF1">
      <w:pPr>
        <w:rPr>
          <w:rFonts w:cs="Calibri"/>
        </w:rPr>
      </w:pPr>
      <w:r w:rsidRPr="000203B4">
        <w:rPr>
          <w:rFonts w:cs="Calibri"/>
        </w:rPr>
        <w:t xml:space="preserve">V _________________ </w:t>
      </w:r>
      <w:proofErr w:type="gramStart"/>
      <w:r w:rsidRPr="000203B4">
        <w:rPr>
          <w:rFonts w:cs="Calibri"/>
        </w:rPr>
        <w:t>dne  _</w:t>
      </w:r>
      <w:proofErr w:type="gramEnd"/>
      <w:r w:rsidRPr="000203B4">
        <w:rPr>
          <w:rFonts w:cs="Calibri"/>
        </w:rPr>
        <w:t>______________</w:t>
      </w:r>
    </w:p>
    <w:p w14:paraId="2D9FB580" w14:textId="77777777" w:rsidR="005A4CF1" w:rsidRPr="000203B4" w:rsidRDefault="005A4CF1" w:rsidP="005A4CF1">
      <w:pPr>
        <w:jc w:val="center"/>
        <w:rPr>
          <w:rFonts w:cs="Calibri"/>
        </w:rPr>
      </w:pPr>
    </w:p>
    <w:p w14:paraId="6302BEC6" w14:textId="77777777" w:rsidR="005A4CF1" w:rsidRPr="000203B4" w:rsidRDefault="005A4CF1" w:rsidP="005A4CF1">
      <w:pPr>
        <w:jc w:val="center"/>
        <w:rPr>
          <w:rFonts w:cs="Calibri"/>
        </w:rPr>
      </w:pPr>
    </w:p>
    <w:p w14:paraId="7B5D9282" w14:textId="77777777" w:rsidR="005A4CF1" w:rsidRPr="000203B4" w:rsidRDefault="005A4CF1" w:rsidP="005A4CF1">
      <w:pPr>
        <w:jc w:val="center"/>
        <w:rPr>
          <w:rFonts w:cs="Calibri"/>
        </w:rPr>
      </w:pPr>
      <w:r w:rsidRPr="000203B4">
        <w:rPr>
          <w:rFonts w:cs="Calibri"/>
        </w:rPr>
        <w:t>___________________________</w:t>
      </w:r>
    </w:p>
    <w:p w14:paraId="4FCA8A99" w14:textId="77777777" w:rsidR="005A4CF1" w:rsidRPr="000203B4" w:rsidRDefault="005A4CF1" w:rsidP="005A4CF1">
      <w:pPr>
        <w:rPr>
          <w:rFonts w:cs="Calibri"/>
        </w:rPr>
      </w:pPr>
    </w:p>
    <w:p w14:paraId="2833F5B6" w14:textId="77777777" w:rsidR="005A4CF1" w:rsidRPr="000203B4" w:rsidRDefault="005A4CF1" w:rsidP="005A4CF1">
      <w:pPr>
        <w:rPr>
          <w:rFonts w:cs="Calibri"/>
        </w:rPr>
      </w:pPr>
      <w:r w:rsidRPr="000203B4">
        <w:rPr>
          <w:rFonts w:cs="Calibri"/>
        </w:rPr>
        <w:t>Výše uvedené zmocnění přijímám.</w:t>
      </w:r>
    </w:p>
    <w:p w14:paraId="6C6610B2" w14:textId="77777777" w:rsidR="005A4CF1" w:rsidRPr="000203B4" w:rsidRDefault="005A4CF1" w:rsidP="005A4CF1">
      <w:pPr>
        <w:ind w:left="5387"/>
        <w:rPr>
          <w:rFonts w:cs="Calibri"/>
        </w:rPr>
      </w:pPr>
    </w:p>
    <w:p w14:paraId="229B64BE" w14:textId="77777777" w:rsidR="005A4CF1" w:rsidRPr="000203B4" w:rsidRDefault="005A4CF1" w:rsidP="005A4CF1">
      <w:pPr>
        <w:ind w:left="5387"/>
        <w:rPr>
          <w:rFonts w:cs="Calibri"/>
        </w:rPr>
      </w:pPr>
    </w:p>
    <w:p w14:paraId="3E748C0A" w14:textId="77777777" w:rsidR="005A4CF1" w:rsidRPr="000203B4" w:rsidRDefault="005A4CF1" w:rsidP="005A4CF1">
      <w:pPr>
        <w:rPr>
          <w:rFonts w:cs="Calibri"/>
        </w:rPr>
      </w:pPr>
      <w:r w:rsidRPr="000203B4">
        <w:rPr>
          <w:rFonts w:cs="Calibri"/>
        </w:rPr>
        <w:t>V _________________ dne _______________</w:t>
      </w:r>
    </w:p>
    <w:p w14:paraId="182D2C42" w14:textId="77777777" w:rsidR="005A4CF1" w:rsidRPr="000203B4" w:rsidRDefault="005A4CF1" w:rsidP="005A4CF1">
      <w:pPr>
        <w:jc w:val="center"/>
        <w:rPr>
          <w:rFonts w:cs="Calibri"/>
        </w:rPr>
      </w:pPr>
    </w:p>
    <w:p w14:paraId="1807A48A" w14:textId="77777777" w:rsidR="005A4CF1" w:rsidRPr="000203B4" w:rsidRDefault="005A4CF1" w:rsidP="005A4CF1">
      <w:pPr>
        <w:jc w:val="center"/>
        <w:rPr>
          <w:rFonts w:cs="Calibri"/>
        </w:rPr>
      </w:pPr>
    </w:p>
    <w:p w14:paraId="27F72A98" w14:textId="3632E868" w:rsidR="0055437B" w:rsidRPr="00615DDF" w:rsidRDefault="005A4CF1" w:rsidP="000203B4">
      <w:pPr>
        <w:jc w:val="center"/>
        <w:rPr>
          <w:rFonts w:cs="Calibri"/>
        </w:rPr>
      </w:pPr>
      <w:r w:rsidRPr="000203B4">
        <w:rPr>
          <w:rFonts w:cs="Calibri"/>
        </w:rPr>
        <w:t>___________________________</w:t>
      </w:r>
    </w:p>
    <w:sectPr w:rsidR="0055437B" w:rsidRPr="00615DDF" w:rsidSect="000203B4">
      <w:footerReference w:type="default" r:id="rId12"/>
      <w:pgSz w:w="11910" w:h="16840"/>
      <w:pgMar w:top="709" w:right="12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0650" w14:textId="77777777" w:rsidR="003A4A02" w:rsidRDefault="003A4A02" w:rsidP="00B21130">
      <w:r>
        <w:separator/>
      </w:r>
    </w:p>
  </w:endnote>
  <w:endnote w:type="continuationSeparator" w:id="0">
    <w:p w14:paraId="795C443D" w14:textId="77777777" w:rsidR="003A4A02" w:rsidRDefault="003A4A02" w:rsidP="00B21130">
      <w:r>
        <w:continuationSeparator/>
      </w:r>
    </w:p>
  </w:endnote>
  <w:endnote w:type="continuationNotice" w:id="1">
    <w:p w14:paraId="6854AB78" w14:textId="77777777" w:rsidR="00E0501C" w:rsidRDefault="00E05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0A49" w14:textId="77777777" w:rsidR="002812BD" w:rsidRDefault="002812BD">
    <w:pPr>
      <w:pStyle w:val="Zpat"/>
      <w:rPr>
        <w:i/>
        <w:iCs/>
        <w:color w:val="A6A6A6" w:themeColor="background1" w:themeShade="A6"/>
      </w:rPr>
    </w:pPr>
  </w:p>
  <w:p w14:paraId="2B155803" w14:textId="123550CA" w:rsidR="00B54B6E" w:rsidRPr="00C60196" w:rsidRDefault="00B54B6E">
    <w:pPr>
      <w:pStyle w:val="Zpat"/>
      <w:rPr>
        <w:i/>
        <w:iCs/>
        <w:color w:val="A6A6A6" w:themeColor="background1" w:themeShade="A6"/>
      </w:rPr>
    </w:pPr>
    <w:r>
      <w:rPr>
        <w:i/>
        <w:iCs/>
        <w:color w:val="A6A6A6" w:themeColor="background1" w:themeShade="A6"/>
      </w:rPr>
      <w:fldChar w:fldCharType="begin"/>
    </w:r>
    <w:r>
      <w:rPr>
        <w:i/>
        <w:iCs/>
        <w:color w:val="A6A6A6" w:themeColor="background1" w:themeShade="A6"/>
      </w:rPr>
      <w:instrText xml:space="preserve"> REF emise \h  \* MERGEFORMAT </w:instrText>
    </w:r>
    <w:r>
      <w:rPr>
        <w:i/>
        <w:iCs/>
        <w:color w:val="A6A6A6" w:themeColor="background1" w:themeShade="A6"/>
      </w:rPr>
    </w:r>
    <w:r>
      <w:rPr>
        <w:i/>
        <w:iCs/>
        <w:color w:val="A6A6A6" w:themeColor="background1" w:themeShade="A6"/>
      </w:rPr>
      <w:fldChar w:fldCharType="separate"/>
    </w:r>
    <w:r w:rsidR="00A65374" w:rsidRPr="00C60196">
      <w:rPr>
        <w:i/>
        <w:iCs/>
        <w:color w:val="A6A6A6" w:themeColor="background1" w:themeShade="A6"/>
        <w:lang w:val="en-US"/>
      </w:rPr>
      <w:t>Reality Investing 2017</w:t>
    </w:r>
    <w:r>
      <w:rPr>
        <w:i/>
        <w:iCs/>
        <w:color w:val="A6A6A6" w:themeColor="background1" w:themeShade="A6"/>
      </w:rPr>
      <w:fldChar w:fldCharType="end"/>
    </w:r>
    <w:r w:rsidRPr="00B04ADA">
      <w:rPr>
        <w:i/>
        <w:iCs/>
        <w:color w:val="A6A6A6" w:themeColor="background1" w:themeShade="A6"/>
      </w:rPr>
      <w:t xml:space="preserve"> – schůze 21. 10. 2021</w:t>
    </w:r>
    <w:r>
      <w:rPr>
        <w:i/>
        <w:iCs/>
        <w:color w:val="A6A6A6" w:themeColor="background1" w:themeShade="A6"/>
      </w:rPr>
      <w:tab/>
    </w:r>
    <w:r>
      <w:rPr>
        <w:i/>
        <w:iCs/>
        <w:color w:val="A6A6A6" w:themeColor="background1" w:themeShade="A6"/>
      </w:rPr>
      <w:tab/>
    </w:r>
    <w:r w:rsidRPr="00E94C46">
      <w:rPr>
        <w:i/>
        <w:iCs/>
        <w:color w:val="A6A6A6" w:themeColor="background1" w:themeShade="A6"/>
      </w:rPr>
      <w:fldChar w:fldCharType="begin"/>
    </w:r>
    <w:r w:rsidRPr="00E94C46">
      <w:rPr>
        <w:i/>
        <w:iCs/>
        <w:color w:val="A6A6A6" w:themeColor="background1" w:themeShade="A6"/>
      </w:rPr>
      <w:instrText>PAGE   \* MERGEFORMAT</w:instrText>
    </w:r>
    <w:r w:rsidRPr="00E94C46">
      <w:rPr>
        <w:i/>
        <w:iCs/>
        <w:color w:val="A6A6A6" w:themeColor="background1" w:themeShade="A6"/>
      </w:rPr>
      <w:fldChar w:fldCharType="separate"/>
    </w:r>
    <w:r>
      <w:rPr>
        <w:i/>
        <w:iCs/>
        <w:color w:val="A6A6A6" w:themeColor="background1" w:themeShade="A6"/>
      </w:rPr>
      <w:t>1</w:t>
    </w:r>
    <w:r w:rsidRPr="00E94C46">
      <w:rPr>
        <w:i/>
        <w:iCs/>
        <w:color w:val="A6A6A6" w:themeColor="background1" w:themeShade="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B8D" w14:textId="13AD6CF5" w:rsidR="00982B40" w:rsidRPr="00982B40" w:rsidRDefault="00982B40" w:rsidP="00982B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F17B" w14:textId="77777777" w:rsidR="003A4A02" w:rsidRDefault="003A4A02" w:rsidP="00B21130">
      <w:r>
        <w:separator/>
      </w:r>
    </w:p>
  </w:footnote>
  <w:footnote w:type="continuationSeparator" w:id="0">
    <w:p w14:paraId="709FBC6E" w14:textId="77777777" w:rsidR="003A4A02" w:rsidRDefault="003A4A02" w:rsidP="00B21130">
      <w:r>
        <w:continuationSeparator/>
      </w:r>
    </w:p>
  </w:footnote>
  <w:footnote w:type="continuationNotice" w:id="1">
    <w:p w14:paraId="44320CFA" w14:textId="77777777" w:rsidR="00E0501C" w:rsidRDefault="00E050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6BD"/>
    <w:multiLevelType w:val="hybridMultilevel"/>
    <w:tmpl w:val="DC5A280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09A6D21"/>
    <w:multiLevelType w:val="hybridMultilevel"/>
    <w:tmpl w:val="A77CB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DA4E31"/>
    <w:multiLevelType w:val="hybridMultilevel"/>
    <w:tmpl w:val="0E343392"/>
    <w:lvl w:ilvl="0" w:tplc="0C86E8C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8990F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685F69"/>
    <w:multiLevelType w:val="hybridMultilevel"/>
    <w:tmpl w:val="CD92E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B26C86"/>
    <w:multiLevelType w:val="hybridMultilevel"/>
    <w:tmpl w:val="60AC34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5240E25"/>
    <w:multiLevelType w:val="multilevel"/>
    <w:tmpl w:val="0405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6C9E2E6F"/>
    <w:multiLevelType w:val="hybridMultilevel"/>
    <w:tmpl w:val="1E807370"/>
    <w:lvl w:ilvl="0" w:tplc="CC882F4E">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D8F64F0"/>
    <w:multiLevelType w:val="hybridMultilevel"/>
    <w:tmpl w:val="4156CBDA"/>
    <w:lvl w:ilvl="0" w:tplc="C7A47588">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5DD7B4B"/>
    <w:multiLevelType w:val="hybridMultilevel"/>
    <w:tmpl w:val="60AC34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7AE87818"/>
    <w:multiLevelType w:val="hybridMultilevel"/>
    <w:tmpl w:val="60AC34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BEA0DBB"/>
    <w:multiLevelType w:val="hybridMultilevel"/>
    <w:tmpl w:val="5FB86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7"/>
  </w:num>
  <w:num w:numId="7">
    <w:abstractNumId w:val="8"/>
  </w:num>
  <w:num w:numId="8">
    <w:abstractNumId w:val="11"/>
  </w:num>
  <w:num w:numId="9">
    <w:abstractNumId w:val="3"/>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BB"/>
    <w:rsid w:val="00005A7E"/>
    <w:rsid w:val="00007314"/>
    <w:rsid w:val="000103D4"/>
    <w:rsid w:val="000149C2"/>
    <w:rsid w:val="00016BB4"/>
    <w:rsid w:val="00017CC6"/>
    <w:rsid w:val="000203B4"/>
    <w:rsid w:val="00022415"/>
    <w:rsid w:val="000254BE"/>
    <w:rsid w:val="000361C1"/>
    <w:rsid w:val="00040A35"/>
    <w:rsid w:val="00040BA6"/>
    <w:rsid w:val="000436FB"/>
    <w:rsid w:val="0004572F"/>
    <w:rsid w:val="000460F9"/>
    <w:rsid w:val="00046E76"/>
    <w:rsid w:val="00060810"/>
    <w:rsid w:val="0006425E"/>
    <w:rsid w:val="00064265"/>
    <w:rsid w:val="00072163"/>
    <w:rsid w:val="00072B91"/>
    <w:rsid w:val="00073EF4"/>
    <w:rsid w:val="00081BAD"/>
    <w:rsid w:val="00081C02"/>
    <w:rsid w:val="00083704"/>
    <w:rsid w:val="00087657"/>
    <w:rsid w:val="00092640"/>
    <w:rsid w:val="00093888"/>
    <w:rsid w:val="00094A2B"/>
    <w:rsid w:val="00097BBC"/>
    <w:rsid w:val="000A1547"/>
    <w:rsid w:val="000A36CF"/>
    <w:rsid w:val="000A45A9"/>
    <w:rsid w:val="000A5FD9"/>
    <w:rsid w:val="000A765B"/>
    <w:rsid w:val="000B38C2"/>
    <w:rsid w:val="000C31D6"/>
    <w:rsid w:val="000C4BB2"/>
    <w:rsid w:val="000C5E87"/>
    <w:rsid w:val="000C74F0"/>
    <w:rsid w:val="000C7552"/>
    <w:rsid w:val="000D0C0D"/>
    <w:rsid w:val="000D1522"/>
    <w:rsid w:val="000D2E24"/>
    <w:rsid w:val="000E06A8"/>
    <w:rsid w:val="000E277A"/>
    <w:rsid w:val="000E3E82"/>
    <w:rsid w:val="000E4504"/>
    <w:rsid w:val="000E64B1"/>
    <w:rsid w:val="000F005F"/>
    <w:rsid w:val="000F0FA0"/>
    <w:rsid w:val="000F176A"/>
    <w:rsid w:val="000F7B5C"/>
    <w:rsid w:val="00100A3F"/>
    <w:rsid w:val="00102864"/>
    <w:rsid w:val="00105B49"/>
    <w:rsid w:val="001065D6"/>
    <w:rsid w:val="00110738"/>
    <w:rsid w:val="001109B7"/>
    <w:rsid w:val="00113B22"/>
    <w:rsid w:val="00113CCB"/>
    <w:rsid w:val="0011647C"/>
    <w:rsid w:val="001350B2"/>
    <w:rsid w:val="001420E1"/>
    <w:rsid w:val="00153DD9"/>
    <w:rsid w:val="00161E5E"/>
    <w:rsid w:val="001649F4"/>
    <w:rsid w:val="00166A29"/>
    <w:rsid w:val="00172443"/>
    <w:rsid w:val="001742E3"/>
    <w:rsid w:val="001778BE"/>
    <w:rsid w:val="00177F1A"/>
    <w:rsid w:val="00184915"/>
    <w:rsid w:val="00184C3D"/>
    <w:rsid w:val="00186855"/>
    <w:rsid w:val="00191BFA"/>
    <w:rsid w:val="00192C3B"/>
    <w:rsid w:val="001957DF"/>
    <w:rsid w:val="00196071"/>
    <w:rsid w:val="001961B6"/>
    <w:rsid w:val="001A1648"/>
    <w:rsid w:val="001A25AA"/>
    <w:rsid w:val="001A2AA0"/>
    <w:rsid w:val="001A365D"/>
    <w:rsid w:val="001B0ED7"/>
    <w:rsid w:val="001B1C99"/>
    <w:rsid w:val="001B35C5"/>
    <w:rsid w:val="001B5698"/>
    <w:rsid w:val="001B62AB"/>
    <w:rsid w:val="001B7054"/>
    <w:rsid w:val="001C0B7E"/>
    <w:rsid w:val="001C2062"/>
    <w:rsid w:val="001D2EB2"/>
    <w:rsid w:val="001D5A6E"/>
    <w:rsid w:val="001D65C4"/>
    <w:rsid w:val="001D6B7D"/>
    <w:rsid w:val="001E0A92"/>
    <w:rsid w:val="001F178D"/>
    <w:rsid w:val="001F1B82"/>
    <w:rsid w:val="001F45CB"/>
    <w:rsid w:val="001F4AAC"/>
    <w:rsid w:val="001F5FDF"/>
    <w:rsid w:val="00202DC4"/>
    <w:rsid w:val="00207050"/>
    <w:rsid w:val="00211353"/>
    <w:rsid w:val="00213F7B"/>
    <w:rsid w:val="00216F88"/>
    <w:rsid w:val="00221A62"/>
    <w:rsid w:val="00222273"/>
    <w:rsid w:val="00227421"/>
    <w:rsid w:val="00227B84"/>
    <w:rsid w:val="0023095C"/>
    <w:rsid w:val="00230B76"/>
    <w:rsid w:val="00230DCA"/>
    <w:rsid w:val="002347DA"/>
    <w:rsid w:val="00245FC3"/>
    <w:rsid w:val="00252239"/>
    <w:rsid w:val="00256FE1"/>
    <w:rsid w:val="0026040F"/>
    <w:rsid w:val="00260C6D"/>
    <w:rsid w:val="0027322C"/>
    <w:rsid w:val="00275954"/>
    <w:rsid w:val="00280384"/>
    <w:rsid w:val="00280AAA"/>
    <w:rsid w:val="002812BD"/>
    <w:rsid w:val="0028297E"/>
    <w:rsid w:val="00283B3F"/>
    <w:rsid w:val="00283CB4"/>
    <w:rsid w:val="0028501E"/>
    <w:rsid w:val="002857D5"/>
    <w:rsid w:val="00293F01"/>
    <w:rsid w:val="002948D7"/>
    <w:rsid w:val="00294BE6"/>
    <w:rsid w:val="00294CF1"/>
    <w:rsid w:val="00296A45"/>
    <w:rsid w:val="002A3BE2"/>
    <w:rsid w:val="002A4C99"/>
    <w:rsid w:val="002A7A1F"/>
    <w:rsid w:val="002B298F"/>
    <w:rsid w:val="002B7BB2"/>
    <w:rsid w:val="002C6712"/>
    <w:rsid w:val="002D0B63"/>
    <w:rsid w:val="002D20F3"/>
    <w:rsid w:val="002D3C9F"/>
    <w:rsid w:val="002D5889"/>
    <w:rsid w:val="002D6785"/>
    <w:rsid w:val="002D7111"/>
    <w:rsid w:val="002E605A"/>
    <w:rsid w:val="002F0924"/>
    <w:rsid w:val="002F23C4"/>
    <w:rsid w:val="002F501B"/>
    <w:rsid w:val="002F5D6F"/>
    <w:rsid w:val="002F6693"/>
    <w:rsid w:val="00300217"/>
    <w:rsid w:val="00301644"/>
    <w:rsid w:val="00306818"/>
    <w:rsid w:val="00315658"/>
    <w:rsid w:val="003165F3"/>
    <w:rsid w:val="00323729"/>
    <w:rsid w:val="00324F33"/>
    <w:rsid w:val="00327EF6"/>
    <w:rsid w:val="003309B5"/>
    <w:rsid w:val="003331CA"/>
    <w:rsid w:val="003347E2"/>
    <w:rsid w:val="00340215"/>
    <w:rsid w:val="00340857"/>
    <w:rsid w:val="00340B0E"/>
    <w:rsid w:val="00344D9F"/>
    <w:rsid w:val="00346837"/>
    <w:rsid w:val="003477F8"/>
    <w:rsid w:val="003528AA"/>
    <w:rsid w:val="00353177"/>
    <w:rsid w:val="003531D3"/>
    <w:rsid w:val="0035466B"/>
    <w:rsid w:val="0036241D"/>
    <w:rsid w:val="00372934"/>
    <w:rsid w:val="0037293A"/>
    <w:rsid w:val="0037593D"/>
    <w:rsid w:val="00377434"/>
    <w:rsid w:val="0038349A"/>
    <w:rsid w:val="003835BA"/>
    <w:rsid w:val="00383F5A"/>
    <w:rsid w:val="00387873"/>
    <w:rsid w:val="00392168"/>
    <w:rsid w:val="00396892"/>
    <w:rsid w:val="003A0459"/>
    <w:rsid w:val="003A194F"/>
    <w:rsid w:val="003A4A02"/>
    <w:rsid w:val="003A774F"/>
    <w:rsid w:val="003B236E"/>
    <w:rsid w:val="003B7E4C"/>
    <w:rsid w:val="003D19CD"/>
    <w:rsid w:val="003D61EE"/>
    <w:rsid w:val="003D6C09"/>
    <w:rsid w:val="003E43F4"/>
    <w:rsid w:val="003E493C"/>
    <w:rsid w:val="003E5CE9"/>
    <w:rsid w:val="003F3179"/>
    <w:rsid w:val="003F7AFE"/>
    <w:rsid w:val="004033CE"/>
    <w:rsid w:val="00404BD9"/>
    <w:rsid w:val="004061BC"/>
    <w:rsid w:val="0040770F"/>
    <w:rsid w:val="00407D6F"/>
    <w:rsid w:val="00413440"/>
    <w:rsid w:val="00413ECF"/>
    <w:rsid w:val="004142DD"/>
    <w:rsid w:val="00417A17"/>
    <w:rsid w:val="00421093"/>
    <w:rsid w:val="0042399E"/>
    <w:rsid w:val="004263DF"/>
    <w:rsid w:val="00426CEA"/>
    <w:rsid w:val="00430BA1"/>
    <w:rsid w:val="00432809"/>
    <w:rsid w:val="00437A23"/>
    <w:rsid w:val="00440A52"/>
    <w:rsid w:val="00442E1E"/>
    <w:rsid w:val="00444DEB"/>
    <w:rsid w:val="004517AF"/>
    <w:rsid w:val="00453570"/>
    <w:rsid w:val="00465255"/>
    <w:rsid w:val="00466223"/>
    <w:rsid w:val="00471E5B"/>
    <w:rsid w:val="00474DF9"/>
    <w:rsid w:val="00481D05"/>
    <w:rsid w:val="00482031"/>
    <w:rsid w:val="00482B3F"/>
    <w:rsid w:val="00485D0C"/>
    <w:rsid w:val="004877F1"/>
    <w:rsid w:val="00494956"/>
    <w:rsid w:val="00495B18"/>
    <w:rsid w:val="00496196"/>
    <w:rsid w:val="004B1B30"/>
    <w:rsid w:val="004B1C37"/>
    <w:rsid w:val="004B3AE3"/>
    <w:rsid w:val="004B478E"/>
    <w:rsid w:val="004C69B6"/>
    <w:rsid w:val="004C6E88"/>
    <w:rsid w:val="004C7EA2"/>
    <w:rsid w:val="004D1B2A"/>
    <w:rsid w:val="004D2F25"/>
    <w:rsid w:val="004D34F3"/>
    <w:rsid w:val="004D407A"/>
    <w:rsid w:val="004D4733"/>
    <w:rsid w:val="004D4EEB"/>
    <w:rsid w:val="004D5390"/>
    <w:rsid w:val="004E0590"/>
    <w:rsid w:val="004E1DB5"/>
    <w:rsid w:val="004E6C98"/>
    <w:rsid w:val="004F3BBE"/>
    <w:rsid w:val="004F3FE6"/>
    <w:rsid w:val="00500399"/>
    <w:rsid w:val="00505912"/>
    <w:rsid w:val="00512709"/>
    <w:rsid w:val="0051492E"/>
    <w:rsid w:val="00520310"/>
    <w:rsid w:val="00524A2D"/>
    <w:rsid w:val="00525CE8"/>
    <w:rsid w:val="00525EE6"/>
    <w:rsid w:val="00526789"/>
    <w:rsid w:val="00526F6E"/>
    <w:rsid w:val="00532D55"/>
    <w:rsid w:val="005337F8"/>
    <w:rsid w:val="00533ACE"/>
    <w:rsid w:val="00542306"/>
    <w:rsid w:val="005427B9"/>
    <w:rsid w:val="00543203"/>
    <w:rsid w:val="00544F27"/>
    <w:rsid w:val="005467D1"/>
    <w:rsid w:val="005470C5"/>
    <w:rsid w:val="00547D55"/>
    <w:rsid w:val="0055437B"/>
    <w:rsid w:val="005561D0"/>
    <w:rsid w:val="005604F4"/>
    <w:rsid w:val="005606F5"/>
    <w:rsid w:val="005614E6"/>
    <w:rsid w:val="00561D19"/>
    <w:rsid w:val="005624AD"/>
    <w:rsid w:val="005632E6"/>
    <w:rsid w:val="005637B9"/>
    <w:rsid w:val="005644FE"/>
    <w:rsid w:val="00571202"/>
    <w:rsid w:val="0057154E"/>
    <w:rsid w:val="005765E6"/>
    <w:rsid w:val="00580315"/>
    <w:rsid w:val="0058338D"/>
    <w:rsid w:val="00584593"/>
    <w:rsid w:val="00593736"/>
    <w:rsid w:val="00594FB6"/>
    <w:rsid w:val="00595B2B"/>
    <w:rsid w:val="00597727"/>
    <w:rsid w:val="005A4CF1"/>
    <w:rsid w:val="005A769F"/>
    <w:rsid w:val="005B1851"/>
    <w:rsid w:val="005B3481"/>
    <w:rsid w:val="005B3E06"/>
    <w:rsid w:val="005B3E71"/>
    <w:rsid w:val="005B5CCA"/>
    <w:rsid w:val="005B704E"/>
    <w:rsid w:val="005C378D"/>
    <w:rsid w:val="005C5B19"/>
    <w:rsid w:val="005C69B2"/>
    <w:rsid w:val="005C74FF"/>
    <w:rsid w:val="005D15AD"/>
    <w:rsid w:val="005D383E"/>
    <w:rsid w:val="005D3E73"/>
    <w:rsid w:val="005D5762"/>
    <w:rsid w:val="005D60C3"/>
    <w:rsid w:val="005D64E6"/>
    <w:rsid w:val="005D77C5"/>
    <w:rsid w:val="005E1017"/>
    <w:rsid w:val="005E1FE3"/>
    <w:rsid w:val="005E2EE9"/>
    <w:rsid w:val="005E3410"/>
    <w:rsid w:val="005E5B40"/>
    <w:rsid w:val="005E6006"/>
    <w:rsid w:val="005E7036"/>
    <w:rsid w:val="005F07C5"/>
    <w:rsid w:val="00600EF7"/>
    <w:rsid w:val="006062D7"/>
    <w:rsid w:val="00610C0E"/>
    <w:rsid w:val="006143AC"/>
    <w:rsid w:val="00615DDF"/>
    <w:rsid w:val="0062104F"/>
    <w:rsid w:val="006224AF"/>
    <w:rsid w:val="006227C5"/>
    <w:rsid w:val="0062500C"/>
    <w:rsid w:val="00626A0F"/>
    <w:rsid w:val="00634141"/>
    <w:rsid w:val="00634E96"/>
    <w:rsid w:val="006431EF"/>
    <w:rsid w:val="00654EE2"/>
    <w:rsid w:val="00662BC6"/>
    <w:rsid w:val="0066564C"/>
    <w:rsid w:val="00665AE7"/>
    <w:rsid w:val="00673BEE"/>
    <w:rsid w:val="00674B9C"/>
    <w:rsid w:val="00677E8C"/>
    <w:rsid w:val="0068031F"/>
    <w:rsid w:val="006879F0"/>
    <w:rsid w:val="00691B3B"/>
    <w:rsid w:val="00692512"/>
    <w:rsid w:val="00692C96"/>
    <w:rsid w:val="00697BEF"/>
    <w:rsid w:val="006A2DEB"/>
    <w:rsid w:val="006B0143"/>
    <w:rsid w:val="006B3866"/>
    <w:rsid w:val="006C35F5"/>
    <w:rsid w:val="006C3C72"/>
    <w:rsid w:val="006C4BD8"/>
    <w:rsid w:val="006C5DB8"/>
    <w:rsid w:val="006C6561"/>
    <w:rsid w:val="006C66B5"/>
    <w:rsid w:val="006C6745"/>
    <w:rsid w:val="006D1A44"/>
    <w:rsid w:val="006D1BEE"/>
    <w:rsid w:val="006D226B"/>
    <w:rsid w:val="006D4838"/>
    <w:rsid w:val="006E084F"/>
    <w:rsid w:val="006E73A5"/>
    <w:rsid w:val="006E75F6"/>
    <w:rsid w:val="006F14C8"/>
    <w:rsid w:val="006F1743"/>
    <w:rsid w:val="006F3375"/>
    <w:rsid w:val="006F45FC"/>
    <w:rsid w:val="006F724C"/>
    <w:rsid w:val="007004A2"/>
    <w:rsid w:val="00707312"/>
    <w:rsid w:val="0071348C"/>
    <w:rsid w:val="0071378E"/>
    <w:rsid w:val="00717119"/>
    <w:rsid w:val="00717659"/>
    <w:rsid w:val="00724FD9"/>
    <w:rsid w:val="007267DF"/>
    <w:rsid w:val="00726F93"/>
    <w:rsid w:val="007274B3"/>
    <w:rsid w:val="00733370"/>
    <w:rsid w:val="00733577"/>
    <w:rsid w:val="007404D4"/>
    <w:rsid w:val="007410ED"/>
    <w:rsid w:val="00751851"/>
    <w:rsid w:val="00753C55"/>
    <w:rsid w:val="007552E5"/>
    <w:rsid w:val="0076217B"/>
    <w:rsid w:val="00762A8E"/>
    <w:rsid w:val="00770078"/>
    <w:rsid w:val="00775E94"/>
    <w:rsid w:val="007823E1"/>
    <w:rsid w:val="00783E55"/>
    <w:rsid w:val="00786CDC"/>
    <w:rsid w:val="0078781B"/>
    <w:rsid w:val="0079038D"/>
    <w:rsid w:val="00790463"/>
    <w:rsid w:val="00794E11"/>
    <w:rsid w:val="007A128C"/>
    <w:rsid w:val="007B0C30"/>
    <w:rsid w:val="007B26F0"/>
    <w:rsid w:val="007C2E26"/>
    <w:rsid w:val="007C4AE1"/>
    <w:rsid w:val="007C74E8"/>
    <w:rsid w:val="007D50DF"/>
    <w:rsid w:val="007D67F3"/>
    <w:rsid w:val="007E608E"/>
    <w:rsid w:val="007F09F7"/>
    <w:rsid w:val="007F1EA9"/>
    <w:rsid w:val="007F5CF5"/>
    <w:rsid w:val="007F6B6E"/>
    <w:rsid w:val="008007F0"/>
    <w:rsid w:val="00800D7A"/>
    <w:rsid w:val="00801E2C"/>
    <w:rsid w:val="0080607C"/>
    <w:rsid w:val="00812CEB"/>
    <w:rsid w:val="00823EB7"/>
    <w:rsid w:val="00823F28"/>
    <w:rsid w:val="00825564"/>
    <w:rsid w:val="00826DCB"/>
    <w:rsid w:val="00834196"/>
    <w:rsid w:val="00837056"/>
    <w:rsid w:val="00837786"/>
    <w:rsid w:val="00845EB1"/>
    <w:rsid w:val="008464C2"/>
    <w:rsid w:val="00854D4A"/>
    <w:rsid w:val="00855277"/>
    <w:rsid w:val="00857EFA"/>
    <w:rsid w:val="008604B6"/>
    <w:rsid w:val="00864AA8"/>
    <w:rsid w:val="00866DC6"/>
    <w:rsid w:val="008673A2"/>
    <w:rsid w:val="00867E1F"/>
    <w:rsid w:val="00871ACC"/>
    <w:rsid w:val="008727BB"/>
    <w:rsid w:val="0087456F"/>
    <w:rsid w:val="00874681"/>
    <w:rsid w:val="00874A5B"/>
    <w:rsid w:val="00874B4E"/>
    <w:rsid w:val="00882E7F"/>
    <w:rsid w:val="00883A68"/>
    <w:rsid w:val="00884B87"/>
    <w:rsid w:val="00890811"/>
    <w:rsid w:val="00891AFF"/>
    <w:rsid w:val="008923E8"/>
    <w:rsid w:val="008A0F17"/>
    <w:rsid w:val="008A4E60"/>
    <w:rsid w:val="008B02EC"/>
    <w:rsid w:val="008B0562"/>
    <w:rsid w:val="008B29F1"/>
    <w:rsid w:val="008B2A6C"/>
    <w:rsid w:val="008B3B96"/>
    <w:rsid w:val="008B3C1A"/>
    <w:rsid w:val="008B6D6A"/>
    <w:rsid w:val="008C2FBE"/>
    <w:rsid w:val="008C4E3E"/>
    <w:rsid w:val="008C7262"/>
    <w:rsid w:val="008D4020"/>
    <w:rsid w:val="008D556B"/>
    <w:rsid w:val="008D6292"/>
    <w:rsid w:val="008D7006"/>
    <w:rsid w:val="008E07CA"/>
    <w:rsid w:val="008E12BE"/>
    <w:rsid w:val="008E1B45"/>
    <w:rsid w:val="008E1ED8"/>
    <w:rsid w:val="008E2321"/>
    <w:rsid w:val="008E2DD0"/>
    <w:rsid w:val="008F1CAE"/>
    <w:rsid w:val="008F2C86"/>
    <w:rsid w:val="008F56F6"/>
    <w:rsid w:val="009014C3"/>
    <w:rsid w:val="00902887"/>
    <w:rsid w:val="00905E46"/>
    <w:rsid w:val="00911F1F"/>
    <w:rsid w:val="00914058"/>
    <w:rsid w:val="00931731"/>
    <w:rsid w:val="00935D47"/>
    <w:rsid w:val="009409B6"/>
    <w:rsid w:val="0094253D"/>
    <w:rsid w:val="009431BB"/>
    <w:rsid w:val="00944198"/>
    <w:rsid w:val="00944878"/>
    <w:rsid w:val="00956CC0"/>
    <w:rsid w:val="009579E2"/>
    <w:rsid w:val="00961BD5"/>
    <w:rsid w:val="00967205"/>
    <w:rsid w:val="00971C00"/>
    <w:rsid w:val="00972B86"/>
    <w:rsid w:val="00972BA6"/>
    <w:rsid w:val="00974284"/>
    <w:rsid w:val="009775C4"/>
    <w:rsid w:val="00980AD7"/>
    <w:rsid w:val="00982B40"/>
    <w:rsid w:val="00982F9D"/>
    <w:rsid w:val="00986570"/>
    <w:rsid w:val="009916BB"/>
    <w:rsid w:val="0099172C"/>
    <w:rsid w:val="00997EA4"/>
    <w:rsid w:val="009A0CE1"/>
    <w:rsid w:val="009A4DEC"/>
    <w:rsid w:val="009B5924"/>
    <w:rsid w:val="009B741F"/>
    <w:rsid w:val="009C3DE1"/>
    <w:rsid w:val="009D13C2"/>
    <w:rsid w:val="009D3ACD"/>
    <w:rsid w:val="009D7014"/>
    <w:rsid w:val="009E408F"/>
    <w:rsid w:val="009E480E"/>
    <w:rsid w:val="009F363A"/>
    <w:rsid w:val="009F4DA3"/>
    <w:rsid w:val="009F6924"/>
    <w:rsid w:val="00A00424"/>
    <w:rsid w:val="00A038E5"/>
    <w:rsid w:val="00A05510"/>
    <w:rsid w:val="00A1366B"/>
    <w:rsid w:val="00A13D0B"/>
    <w:rsid w:val="00A1454B"/>
    <w:rsid w:val="00A168C1"/>
    <w:rsid w:val="00A20047"/>
    <w:rsid w:val="00A20384"/>
    <w:rsid w:val="00A214F8"/>
    <w:rsid w:val="00A249EE"/>
    <w:rsid w:val="00A24F9B"/>
    <w:rsid w:val="00A2627E"/>
    <w:rsid w:val="00A27533"/>
    <w:rsid w:val="00A31182"/>
    <w:rsid w:val="00A34BCC"/>
    <w:rsid w:val="00A34E02"/>
    <w:rsid w:val="00A35B45"/>
    <w:rsid w:val="00A36750"/>
    <w:rsid w:val="00A3784A"/>
    <w:rsid w:val="00A40B00"/>
    <w:rsid w:val="00A45F95"/>
    <w:rsid w:val="00A4621B"/>
    <w:rsid w:val="00A463F6"/>
    <w:rsid w:val="00A53943"/>
    <w:rsid w:val="00A60291"/>
    <w:rsid w:val="00A65374"/>
    <w:rsid w:val="00A6605E"/>
    <w:rsid w:val="00A71417"/>
    <w:rsid w:val="00A7315D"/>
    <w:rsid w:val="00A840A3"/>
    <w:rsid w:val="00A84F32"/>
    <w:rsid w:val="00A857EA"/>
    <w:rsid w:val="00A87093"/>
    <w:rsid w:val="00A937B6"/>
    <w:rsid w:val="00A9424C"/>
    <w:rsid w:val="00AA3907"/>
    <w:rsid w:val="00AA41E8"/>
    <w:rsid w:val="00AA4B7D"/>
    <w:rsid w:val="00AA5A5E"/>
    <w:rsid w:val="00AB700B"/>
    <w:rsid w:val="00AB7124"/>
    <w:rsid w:val="00AC157B"/>
    <w:rsid w:val="00AC2C47"/>
    <w:rsid w:val="00AC2DAB"/>
    <w:rsid w:val="00AC698D"/>
    <w:rsid w:val="00AC706D"/>
    <w:rsid w:val="00AC7882"/>
    <w:rsid w:val="00AC7D1F"/>
    <w:rsid w:val="00AD26EC"/>
    <w:rsid w:val="00AE12A6"/>
    <w:rsid w:val="00AE1BCB"/>
    <w:rsid w:val="00AE2D0A"/>
    <w:rsid w:val="00AE383F"/>
    <w:rsid w:val="00AE39E6"/>
    <w:rsid w:val="00AE42DE"/>
    <w:rsid w:val="00AE55FC"/>
    <w:rsid w:val="00AF0387"/>
    <w:rsid w:val="00AF5386"/>
    <w:rsid w:val="00AF5D01"/>
    <w:rsid w:val="00AF6D6B"/>
    <w:rsid w:val="00B00897"/>
    <w:rsid w:val="00B0110C"/>
    <w:rsid w:val="00B16377"/>
    <w:rsid w:val="00B20DDE"/>
    <w:rsid w:val="00B21130"/>
    <w:rsid w:val="00B22219"/>
    <w:rsid w:val="00B26B68"/>
    <w:rsid w:val="00B27B81"/>
    <w:rsid w:val="00B27B9D"/>
    <w:rsid w:val="00B327C8"/>
    <w:rsid w:val="00B35444"/>
    <w:rsid w:val="00B3628A"/>
    <w:rsid w:val="00B36557"/>
    <w:rsid w:val="00B37596"/>
    <w:rsid w:val="00B52A76"/>
    <w:rsid w:val="00B54825"/>
    <w:rsid w:val="00B54B6E"/>
    <w:rsid w:val="00B55AB0"/>
    <w:rsid w:val="00B569E2"/>
    <w:rsid w:val="00B648FD"/>
    <w:rsid w:val="00B714A2"/>
    <w:rsid w:val="00B719F3"/>
    <w:rsid w:val="00B71C0B"/>
    <w:rsid w:val="00B759D5"/>
    <w:rsid w:val="00B83AD7"/>
    <w:rsid w:val="00B842E5"/>
    <w:rsid w:val="00B84D34"/>
    <w:rsid w:val="00B8511C"/>
    <w:rsid w:val="00B8560D"/>
    <w:rsid w:val="00B85AF2"/>
    <w:rsid w:val="00B9010D"/>
    <w:rsid w:val="00B922EE"/>
    <w:rsid w:val="00B9497E"/>
    <w:rsid w:val="00B956FC"/>
    <w:rsid w:val="00B96035"/>
    <w:rsid w:val="00BA125C"/>
    <w:rsid w:val="00BA13C2"/>
    <w:rsid w:val="00BA1D12"/>
    <w:rsid w:val="00BB097E"/>
    <w:rsid w:val="00BB14A8"/>
    <w:rsid w:val="00BB2025"/>
    <w:rsid w:val="00BB42A3"/>
    <w:rsid w:val="00BB47DB"/>
    <w:rsid w:val="00BB7002"/>
    <w:rsid w:val="00BB77A6"/>
    <w:rsid w:val="00BB7880"/>
    <w:rsid w:val="00BC10EB"/>
    <w:rsid w:val="00BC38CB"/>
    <w:rsid w:val="00BC646B"/>
    <w:rsid w:val="00BC692D"/>
    <w:rsid w:val="00BC780E"/>
    <w:rsid w:val="00BC782A"/>
    <w:rsid w:val="00BD3B68"/>
    <w:rsid w:val="00BD44B6"/>
    <w:rsid w:val="00BD4C24"/>
    <w:rsid w:val="00BD7AF5"/>
    <w:rsid w:val="00BE1BED"/>
    <w:rsid w:val="00BE1C50"/>
    <w:rsid w:val="00BE6A54"/>
    <w:rsid w:val="00BE7425"/>
    <w:rsid w:val="00BF063D"/>
    <w:rsid w:val="00BF1A95"/>
    <w:rsid w:val="00BF55B8"/>
    <w:rsid w:val="00BF6540"/>
    <w:rsid w:val="00BF7138"/>
    <w:rsid w:val="00BF723C"/>
    <w:rsid w:val="00C022B9"/>
    <w:rsid w:val="00C14644"/>
    <w:rsid w:val="00C1619E"/>
    <w:rsid w:val="00C21A30"/>
    <w:rsid w:val="00C23968"/>
    <w:rsid w:val="00C23CF5"/>
    <w:rsid w:val="00C2487F"/>
    <w:rsid w:val="00C2636A"/>
    <w:rsid w:val="00C305C8"/>
    <w:rsid w:val="00C42964"/>
    <w:rsid w:val="00C44FB2"/>
    <w:rsid w:val="00C56270"/>
    <w:rsid w:val="00C57161"/>
    <w:rsid w:val="00C5779E"/>
    <w:rsid w:val="00C60196"/>
    <w:rsid w:val="00C61524"/>
    <w:rsid w:val="00C65193"/>
    <w:rsid w:val="00C725AD"/>
    <w:rsid w:val="00C75C6B"/>
    <w:rsid w:val="00C803C2"/>
    <w:rsid w:val="00C82FA4"/>
    <w:rsid w:val="00C87D2D"/>
    <w:rsid w:val="00C91039"/>
    <w:rsid w:val="00C91DE0"/>
    <w:rsid w:val="00C95B0D"/>
    <w:rsid w:val="00C96D51"/>
    <w:rsid w:val="00C97874"/>
    <w:rsid w:val="00CA074F"/>
    <w:rsid w:val="00CA0FCA"/>
    <w:rsid w:val="00CA5225"/>
    <w:rsid w:val="00CA5AE5"/>
    <w:rsid w:val="00CB0EE8"/>
    <w:rsid w:val="00CB546A"/>
    <w:rsid w:val="00CB6454"/>
    <w:rsid w:val="00CC4E01"/>
    <w:rsid w:val="00CC5482"/>
    <w:rsid w:val="00CC744F"/>
    <w:rsid w:val="00CD1227"/>
    <w:rsid w:val="00CD2F31"/>
    <w:rsid w:val="00CD61A0"/>
    <w:rsid w:val="00CE560E"/>
    <w:rsid w:val="00CE764F"/>
    <w:rsid w:val="00CF2579"/>
    <w:rsid w:val="00CF2BC2"/>
    <w:rsid w:val="00CF7943"/>
    <w:rsid w:val="00D13C46"/>
    <w:rsid w:val="00D238ED"/>
    <w:rsid w:val="00D26FDE"/>
    <w:rsid w:val="00D27018"/>
    <w:rsid w:val="00D3172A"/>
    <w:rsid w:val="00D3258B"/>
    <w:rsid w:val="00D35009"/>
    <w:rsid w:val="00D35351"/>
    <w:rsid w:val="00D375D9"/>
    <w:rsid w:val="00D411D7"/>
    <w:rsid w:val="00D50B9D"/>
    <w:rsid w:val="00D5578B"/>
    <w:rsid w:val="00D57DB7"/>
    <w:rsid w:val="00D67E85"/>
    <w:rsid w:val="00D705B7"/>
    <w:rsid w:val="00D72217"/>
    <w:rsid w:val="00D74B43"/>
    <w:rsid w:val="00D819C6"/>
    <w:rsid w:val="00D8550C"/>
    <w:rsid w:val="00D860D5"/>
    <w:rsid w:val="00D90538"/>
    <w:rsid w:val="00D90D79"/>
    <w:rsid w:val="00D91E39"/>
    <w:rsid w:val="00D92DA9"/>
    <w:rsid w:val="00D95976"/>
    <w:rsid w:val="00DA3E94"/>
    <w:rsid w:val="00DA47C3"/>
    <w:rsid w:val="00DB3B22"/>
    <w:rsid w:val="00DB6B47"/>
    <w:rsid w:val="00DB7303"/>
    <w:rsid w:val="00DC3712"/>
    <w:rsid w:val="00DC6B27"/>
    <w:rsid w:val="00DD0E89"/>
    <w:rsid w:val="00DD0F5B"/>
    <w:rsid w:val="00DD4051"/>
    <w:rsid w:val="00DD591F"/>
    <w:rsid w:val="00DD63C6"/>
    <w:rsid w:val="00DD6B07"/>
    <w:rsid w:val="00DE0066"/>
    <w:rsid w:val="00DE01E9"/>
    <w:rsid w:val="00DE0FD6"/>
    <w:rsid w:val="00DE1768"/>
    <w:rsid w:val="00DE3AA2"/>
    <w:rsid w:val="00DE66A0"/>
    <w:rsid w:val="00DE7BF9"/>
    <w:rsid w:val="00DE7F28"/>
    <w:rsid w:val="00DF0B9B"/>
    <w:rsid w:val="00DF37B8"/>
    <w:rsid w:val="00DF6DCA"/>
    <w:rsid w:val="00E01BD9"/>
    <w:rsid w:val="00E03EC3"/>
    <w:rsid w:val="00E0501C"/>
    <w:rsid w:val="00E05C25"/>
    <w:rsid w:val="00E06AD9"/>
    <w:rsid w:val="00E1227F"/>
    <w:rsid w:val="00E13195"/>
    <w:rsid w:val="00E14C1B"/>
    <w:rsid w:val="00E17661"/>
    <w:rsid w:val="00E21AA6"/>
    <w:rsid w:val="00E223E1"/>
    <w:rsid w:val="00E23A0B"/>
    <w:rsid w:val="00E26AFF"/>
    <w:rsid w:val="00E3235B"/>
    <w:rsid w:val="00E37741"/>
    <w:rsid w:val="00E41040"/>
    <w:rsid w:val="00E41F9B"/>
    <w:rsid w:val="00E447C4"/>
    <w:rsid w:val="00E4641A"/>
    <w:rsid w:val="00E468E0"/>
    <w:rsid w:val="00E5116C"/>
    <w:rsid w:val="00E51188"/>
    <w:rsid w:val="00E53BA8"/>
    <w:rsid w:val="00E55AC7"/>
    <w:rsid w:val="00E55C9D"/>
    <w:rsid w:val="00E55E51"/>
    <w:rsid w:val="00E65B42"/>
    <w:rsid w:val="00E6723F"/>
    <w:rsid w:val="00E707D3"/>
    <w:rsid w:val="00E72DD9"/>
    <w:rsid w:val="00E7531C"/>
    <w:rsid w:val="00E759A0"/>
    <w:rsid w:val="00E7741C"/>
    <w:rsid w:val="00E8519C"/>
    <w:rsid w:val="00E91C4A"/>
    <w:rsid w:val="00E94460"/>
    <w:rsid w:val="00EA36DF"/>
    <w:rsid w:val="00EA50AE"/>
    <w:rsid w:val="00EB36EA"/>
    <w:rsid w:val="00EB455E"/>
    <w:rsid w:val="00EB486B"/>
    <w:rsid w:val="00EC0403"/>
    <w:rsid w:val="00EC33C3"/>
    <w:rsid w:val="00EC57BB"/>
    <w:rsid w:val="00ED0E27"/>
    <w:rsid w:val="00ED1934"/>
    <w:rsid w:val="00ED6B99"/>
    <w:rsid w:val="00EE1227"/>
    <w:rsid w:val="00EE1AB7"/>
    <w:rsid w:val="00EE4A64"/>
    <w:rsid w:val="00EE5113"/>
    <w:rsid w:val="00EF3624"/>
    <w:rsid w:val="00F01861"/>
    <w:rsid w:val="00F02984"/>
    <w:rsid w:val="00F06848"/>
    <w:rsid w:val="00F1186C"/>
    <w:rsid w:val="00F11E05"/>
    <w:rsid w:val="00F121CB"/>
    <w:rsid w:val="00F13522"/>
    <w:rsid w:val="00F14898"/>
    <w:rsid w:val="00F2035D"/>
    <w:rsid w:val="00F2168E"/>
    <w:rsid w:val="00F25E8C"/>
    <w:rsid w:val="00F25EF1"/>
    <w:rsid w:val="00F26CBF"/>
    <w:rsid w:val="00F27770"/>
    <w:rsid w:val="00F27F09"/>
    <w:rsid w:val="00F336C3"/>
    <w:rsid w:val="00F35F92"/>
    <w:rsid w:val="00F36919"/>
    <w:rsid w:val="00F37986"/>
    <w:rsid w:val="00F40C6D"/>
    <w:rsid w:val="00F44CCB"/>
    <w:rsid w:val="00F44DDE"/>
    <w:rsid w:val="00F50845"/>
    <w:rsid w:val="00F50879"/>
    <w:rsid w:val="00F544A0"/>
    <w:rsid w:val="00F54A8A"/>
    <w:rsid w:val="00F568DF"/>
    <w:rsid w:val="00F57BB7"/>
    <w:rsid w:val="00F6406E"/>
    <w:rsid w:val="00F65487"/>
    <w:rsid w:val="00F729CE"/>
    <w:rsid w:val="00F754F7"/>
    <w:rsid w:val="00F77022"/>
    <w:rsid w:val="00F802EC"/>
    <w:rsid w:val="00F80AA4"/>
    <w:rsid w:val="00F82F88"/>
    <w:rsid w:val="00F84CA8"/>
    <w:rsid w:val="00F86D26"/>
    <w:rsid w:val="00F87ED4"/>
    <w:rsid w:val="00F90D78"/>
    <w:rsid w:val="00F939F0"/>
    <w:rsid w:val="00F9470D"/>
    <w:rsid w:val="00F97D4E"/>
    <w:rsid w:val="00FA0E8E"/>
    <w:rsid w:val="00FA168C"/>
    <w:rsid w:val="00FA348C"/>
    <w:rsid w:val="00FA4504"/>
    <w:rsid w:val="00FA52A5"/>
    <w:rsid w:val="00FA53AE"/>
    <w:rsid w:val="00FA54DD"/>
    <w:rsid w:val="00FA710D"/>
    <w:rsid w:val="00FB26B4"/>
    <w:rsid w:val="00FC0968"/>
    <w:rsid w:val="00FD099E"/>
    <w:rsid w:val="00FD17DF"/>
    <w:rsid w:val="00FD3A0B"/>
    <w:rsid w:val="00FD5DAD"/>
    <w:rsid w:val="00FE0B64"/>
    <w:rsid w:val="00FE1158"/>
    <w:rsid w:val="00FE1CF8"/>
    <w:rsid w:val="00FE1E6E"/>
    <w:rsid w:val="00FE3C6A"/>
    <w:rsid w:val="00FF1257"/>
    <w:rsid w:val="00FF2FBF"/>
    <w:rsid w:val="00FF51DE"/>
    <w:rsid w:val="00FF5269"/>
    <w:rsid w:val="00FF5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712FB"/>
  <w15:docId w15:val="{054F758D-96F8-4C34-BFB4-E5E34C3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5DDF"/>
    <w:rPr>
      <w:rFonts w:ascii="Calibri" w:eastAsia="Times New Roman" w:hAnsi="Calibri" w:cs="Times New Roman"/>
      <w:lang w:val="cs-CZ"/>
    </w:rPr>
  </w:style>
  <w:style w:type="paragraph" w:styleId="Nadpis1">
    <w:name w:val="heading 1"/>
    <w:basedOn w:val="Normln"/>
    <w:next w:val="Normln"/>
    <w:link w:val="Nadpis1Char"/>
    <w:uiPriority w:val="9"/>
    <w:qFormat/>
    <w:rsid w:val="00B949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8464C2"/>
    <w:pPr>
      <w:widowControl/>
      <w:autoSpaceDE/>
      <w:autoSpaceDN/>
      <w:spacing w:before="100" w:beforeAutospacing="1" w:after="100" w:afterAutospacing="1"/>
      <w:outlineLvl w:val="1"/>
    </w:pPr>
    <w:rPr>
      <w:b/>
      <w:bCs/>
      <w:sz w:val="36"/>
      <w:szCs w:val="36"/>
      <w:lang w:eastAsia="cs-CZ"/>
    </w:rPr>
  </w:style>
  <w:style w:type="paragraph" w:styleId="Nadpis3">
    <w:name w:val="heading 3"/>
    <w:basedOn w:val="Normln"/>
    <w:next w:val="Normln"/>
    <w:link w:val="Nadpis3Char"/>
    <w:uiPriority w:val="9"/>
    <w:semiHidden/>
    <w:unhideWhenUsed/>
    <w:qFormat/>
    <w:rsid w:val="00C21A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8"/>
    </w:pPr>
  </w:style>
  <w:style w:type="paragraph" w:styleId="Odstavecseseznamem">
    <w:name w:val="List Paragraph"/>
    <w:basedOn w:val="Normln"/>
    <w:uiPriority w:val="1"/>
    <w:qFormat/>
    <w:rsid w:val="001F5FDF"/>
  </w:style>
  <w:style w:type="paragraph" w:customStyle="1" w:styleId="TableParagraph">
    <w:name w:val="Table Paragraph"/>
    <w:basedOn w:val="Normln"/>
    <w:uiPriority w:val="1"/>
    <w:qFormat/>
    <w:pPr>
      <w:spacing w:before="152"/>
      <w:ind w:left="107"/>
    </w:pPr>
  </w:style>
  <w:style w:type="character" w:customStyle="1" w:styleId="Nadpis2Char">
    <w:name w:val="Nadpis 2 Char"/>
    <w:basedOn w:val="Standardnpsmoodstavce"/>
    <w:link w:val="Nadpis2"/>
    <w:uiPriority w:val="9"/>
    <w:rsid w:val="008464C2"/>
    <w:rPr>
      <w:rFonts w:ascii="Times New Roman" w:eastAsia="Times New Roman" w:hAnsi="Times New Roman" w:cs="Times New Roman"/>
      <w:b/>
      <w:bCs/>
      <w:sz w:val="36"/>
      <w:szCs w:val="36"/>
      <w:lang w:val="cs-CZ" w:eastAsia="cs-CZ"/>
    </w:rPr>
  </w:style>
  <w:style w:type="paragraph" w:styleId="Normlnweb">
    <w:name w:val="Normal (Web)"/>
    <w:basedOn w:val="Normln"/>
    <w:uiPriority w:val="99"/>
    <w:semiHidden/>
    <w:unhideWhenUsed/>
    <w:rsid w:val="008464C2"/>
    <w:pPr>
      <w:widowControl/>
      <w:autoSpaceDE/>
      <w:autoSpaceDN/>
      <w:spacing w:before="100" w:beforeAutospacing="1" w:after="100" w:afterAutospacing="1"/>
    </w:pPr>
    <w:rPr>
      <w:sz w:val="24"/>
      <w:szCs w:val="24"/>
      <w:lang w:eastAsia="cs-CZ"/>
    </w:rPr>
  </w:style>
  <w:style w:type="character" w:styleId="Siln">
    <w:name w:val="Strong"/>
    <w:basedOn w:val="Standardnpsmoodstavce"/>
    <w:uiPriority w:val="22"/>
    <w:qFormat/>
    <w:rsid w:val="008464C2"/>
    <w:rPr>
      <w:b/>
      <w:bCs/>
    </w:rPr>
  </w:style>
  <w:style w:type="character" w:styleId="Odkaznakoment">
    <w:name w:val="annotation reference"/>
    <w:basedOn w:val="Standardnpsmoodstavce"/>
    <w:uiPriority w:val="99"/>
    <w:semiHidden/>
    <w:unhideWhenUsed/>
    <w:rsid w:val="00293F01"/>
    <w:rPr>
      <w:sz w:val="16"/>
      <w:szCs w:val="16"/>
    </w:rPr>
  </w:style>
  <w:style w:type="paragraph" w:styleId="Textkomente">
    <w:name w:val="annotation text"/>
    <w:basedOn w:val="Normln"/>
    <w:link w:val="TextkomenteChar"/>
    <w:uiPriority w:val="99"/>
    <w:semiHidden/>
    <w:unhideWhenUsed/>
    <w:rsid w:val="00293F01"/>
    <w:rPr>
      <w:sz w:val="20"/>
      <w:szCs w:val="20"/>
    </w:rPr>
  </w:style>
  <w:style w:type="character" w:customStyle="1" w:styleId="TextkomenteChar">
    <w:name w:val="Text komentáře Char"/>
    <w:basedOn w:val="Standardnpsmoodstavce"/>
    <w:link w:val="Textkomente"/>
    <w:uiPriority w:val="99"/>
    <w:semiHidden/>
    <w:rsid w:val="00293F0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93F01"/>
    <w:rPr>
      <w:b/>
      <w:bCs/>
    </w:rPr>
  </w:style>
  <w:style w:type="character" w:customStyle="1" w:styleId="PedmtkomenteChar">
    <w:name w:val="Předmět komentáře Char"/>
    <w:basedOn w:val="TextkomenteChar"/>
    <w:link w:val="Pedmtkomente"/>
    <w:uiPriority w:val="99"/>
    <w:semiHidden/>
    <w:rsid w:val="00293F01"/>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B21130"/>
    <w:pPr>
      <w:tabs>
        <w:tab w:val="center" w:pos="4536"/>
        <w:tab w:val="right" w:pos="9072"/>
      </w:tabs>
    </w:pPr>
  </w:style>
  <w:style w:type="character" w:customStyle="1" w:styleId="ZhlavChar">
    <w:name w:val="Záhlaví Char"/>
    <w:basedOn w:val="Standardnpsmoodstavce"/>
    <w:link w:val="Zhlav"/>
    <w:uiPriority w:val="99"/>
    <w:rsid w:val="00B21130"/>
    <w:rPr>
      <w:rFonts w:ascii="Times New Roman" w:eastAsia="Times New Roman" w:hAnsi="Times New Roman" w:cs="Times New Roman"/>
    </w:rPr>
  </w:style>
  <w:style w:type="paragraph" w:styleId="Zpat">
    <w:name w:val="footer"/>
    <w:basedOn w:val="Normln"/>
    <w:link w:val="ZpatChar"/>
    <w:uiPriority w:val="99"/>
    <w:unhideWhenUsed/>
    <w:rsid w:val="00B21130"/>
    <w:pPr>
      <w:tabs>
        <w:tab w:val="center" w:pos="4536"/>
        <w:tab w:val="right" w:pos="9072"/>
      </w:tabs>
    </w:pPr>
  </w:style>
  <w:style w:type="character" w:customStyle="1" w:styleId="ZpatChar">
    <w:name w:val="Zápatí Char"/>
    <w:basedOn w:val="Standardnpsmoodstavce"/>
    <w:link w:val="Zpat"/>
    <w:uiPriority w:val="99"/>
    <w:rsid w:val="00B21130"/>
    <w:rPr>
      <w:rFonts w:ascii="Times New Roman" w:eastAsia="Times New Roman" w:hAnsi="Times New Roman" w:cs="Times New Roman"/>
    </w:rPr>
  </w:style>
  <w:style w:type="paragraph" w:styleId="Revize">
    <w:name w:val="Revision"/>
    <w:hidden/>
    <w:uiPriority w:val="99"/>
    <w:semiHidden/>
    <w:rsid w:val="000F7B5C"/>
    <w:pPr>
      <w:widowControl/>
      <w:autoSpaceDE/>
      <w:autoSpaceDN/>
    </w:pPr>
    <w:rPr>
      <w:rFonts w:ascii="Times New Roman" w:eastAsia="Times New Roman" w:hAnsi="Times New Roman" w:cs="Times New Roman"/>
    </w:rPr>
  </w:style>
  <w:style w:type="character" w:styleId="Hypertextovodkaz">
    <w:name w:val="Hyperlink"/>
    <w:basedOn w:val="Standardnpsmoodstavce"/>
    <w:uiPriority w:val="99"/>
    <w:unhideWhenUsed/>
    <w:rsid w:val="00CA0FCA"/>
    <w:rPr>
      <w:color w:val="0000FF" w:themeColor="hyperlink"/>
      <w:u w:val="single"/>
    </w:rPr>
  </w:style>
  <w:style w:type="character" w:styleId="Nevyeenzmnka">
    <w:name w:val="Unresolved Mention"/>
    <w:basedOn w:val="Standardnpsmoodstavce"/>
    <w:uiPriority w:val="99"/>
    <w:semiHidden/>
    <w:unhideWhenUsed/>
    <w:rsid w:val="00CA0FCA"/>
    <w:rPr>
      <w:color w:val="605E5C"/>
      <w:shd w:val="clear" w:color="auto" w:fill="E1DFDD"/>
    </w:rPr>
  </w:style>
  <w:style w:type="character" w:customStyle="1" w:styleId="Nadpis1Char">
    <w:name w:val="Nadpis 1 Char"/>
    <w:basedOn w:val="Standardnpsmoodstavce"/>
    <w:link w:val="Nadpis1"/>
    <w:uiPriority w:val="9"/>
    <w:rsid w:val="00B9497E"/>
    <w:rPr>
      <w:rFonts w:asciiTheme="majorHAnsi" w:eastAsiaTheme="majorEastAsia" w:hAnsiTheme="majorHAnsi" w:cstheme="majorBidi"/>
      <w:color w:val="365F91" w:themeColor="accent1" w:themeShade="BF"/>
      <w:sz w:val="32"/>
      <w:szCs w:val="32"/>
    </w:rPr>
  </w:style>
  <w:style w:type="character" w:styleId="Sledovanodkaz">
    <w:name w:val="FollowedHyperlink"/>
    <w:basedOn w:val="Standardnpsmoodstavce"/>
    <w:uiPriority w:val="99"/>
    <w:semiHidden/>
    <w:unhideWhenUsed/>
    <w:rsid w:val="002D6785"/>
    <w:rPr>
      <w:color w:val="800080" w:themeColor="followedHyperlink"/>
      <w:u w:val="single"/>
    </w:rPr>
  </w:style>
  <w:style w:type="character" w:customStyle="1" w:styleId="Nadpis3Char">
    <w:name w:val="Nadpis 3 Char"/>
    <w:basedOn w:val="Standardnpsmoodstavce"/>
    <w:link w:val="Nadpis3"/>
    <w:uiPriority w:val="9"/>
    <w:semiHidden/>
    <w:rsid w:val="00C21A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263">
      <w:bodyDiv w:val="1"/>
      <w:marLeft w:val="0"/>
      <w:marRight w:val="0"/>
      <w:marTop w:val="0"/>
      <w:marBottom w:val="0"/>
      <w:divBdr>
        <w:top w:val="none" w:sz="0" w:space="0" w:color="auto"/>
        <w:left w:val="none" w:sz="0" w:space="0" w:color="auto"/>
        <w:bottom w:val="none" w:sz="0" w:space="0" w:color="auto"/>
        <w:right w:val="none" w:sz="0" w:space="0" w:color="auto"/>
      </w:divBdr>
    </w:div>
    <w:div w:id="64768272">
      <w:bodyDiv w:val="1"/>
      <w:marLeft w:val="0"/>
      <w:marRight w:val="0"/>
      <w:marTop w:val="0"/>
      <w:marBottom w:val="0"/>
      <w:divBdr>
        <w:top w:val="none" w:sz="0" w:space="0" w:color="auto"/>
        <w:left w:val="none" w:sz="0" w:space="0" w:color="auto"/>
        <w:bottom w:val="none" w:sz="0" w:space="0" w:color="auto"/>
        <w:right w:val="none" w:sz="0" w:space="0" w:color="auto"/>
      </w:divBdr>
    </w:div>
    <w:div w:id="261842710">
      <w:bodyDiv w:val="1"/>
      <w:marLeft w:val="0"/>
      <w:marRight w:val="0"/>
      <w:marTop w:val="0"/>
      <w:marBottom w:val="0"/>
      <w:divBdr>
        <w:top w:val="none" w:sz="0" w:space="0" w:color="auto"/>
        <w:left w:val="none" w:sz="0" w:space="0" w:color="auto"/>
        <w:bottom w:val="none" w:sz="0" w:space="0" w:color="auto"/>
        <w:right w:val="none" w:sz="0" w:space="0" w:color="auto"/>
      </w:divBdr>
    </w:div>
    <w:div w:id="391075277">
      <w:bodyDiv w:val="1"/>
      <w:marLeft w:val="0"/>
      <w:marRight w:val="0"/>
      <w:marTop w:val="0"/>
      <w:marBottom w:val="0"/>
      <w:divBdr>
        <w:top w:val="none" w:sz="0" w:space="0" w:color="auto"/>
        <w:left w:val="none" w:sz="0" w:space="0" w:color="auto"/>
        <w:bottom w:val="none" w:sz="0" w:space="0" w:color="auto"/>
        <w:right w:val="none" w:sz="0" w:space="0" w:color="auto"/>
      </w:divBdr>
    </w:div>
    <w:div w:id="737627442">
      <w:bodyDiv w:val="1"/>
      <w:marLeft w:val="0"/>
      <w:marRight w:val="0"/>
      <w:marTop w:val="0"/>
      <w:marBottom w:val="0"/>
      <w:divBdr>
        <w:top w:val="none" w:sz="0" w:space="0" w:color="auto"/>
        <w:left w:val="none" w:sz="0" w:space="0" w:color="auto"/>
        <w:bottom w:val="none" w:sz="0" w:space="0" w:color="auto"/>
        <w:right w:val="none" w:sz="0" w:space="0" w:color="auto"/>
      </w:divBdr>
    </w:div>
    <w:div w:id="763500421">
      <w:bodyDiv w:val="1"/>
      <w:marLeft w:val="0"/>
      <w:marRight w:val="0"/>
      <w:marTop w:val="0"/>
      <w:marBottom w:val="0"/>
      <w:divBdr>
        <w:top w:val="none" w:sz="0" w:space="0" w:color="auto"/>
        <w:left w:val="none" w:sz="0" w:space="0" w:color="auto"/>
        <w:bottom w:val="none" w:sz="0" w:space="0" w:color="auto"/>
        <w:right w:val="none" w:sz="0" w:space="0" w:color="auto"/>
      </w:divBdr>
      <w:divsChild>
        <w:div w:id="1629898628">
          <w:marLeft w:val="0"/>
          <w:marRight w:val="0"/>
          <w:marTop w:val="0"/>
          <w:marBottom w:val="0"/>
          <w:divBdr>
            <w:top w:val="none" w:sz="0" w:space="0" w:color="auto"/>
            <w:left w:val="none" w:sz="0" w:space="0" w:color="auto"/>
            <w:bottom w:val="none" w:sz="0" w:space="0" w:color="auto"/>
            <w:right w:val="none" w:sz="0" w:space="0" w:color="auto"/>
          </w:divBdr>
          <w:divsChild>
            <w:div w:id="1770539462">
              <w:marLeft w:val="0"/>
              <w:marRight w:val="0"/>
              <w:marTop w:val="0"/>
              <w:marBottom w:val="0"/>
              <w:divBdr>
                <w:top w:val="none" w:sz="0" w:space="0" w:color="auto"/>
                <w:left w:val="none" w:sz="0" w:space="0" w:color="auto"/>
                <w:bottom w:val="none" w:sz="0" w:space="0" w:color="auto"/>
                <w:right w:val="none" w:sz="0" w:space="0" w:color="auto"/>
              </w:divBdr>
            </w:div>
            <w:div w:id="14313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854">
      <w:bodyDiv w:val="1"/>
      <w:marLeft w:val="0"/>
      <w:marRight w:val="0"/>
      <w:marTop w:val="0"/>
      <w:marBottom w:val="0"/>
      <w:divBdr>
        <w:top w:val="none" w:sz="0" w:space="0" w:color="auto"/>
        <w:left w:val="none" w:sz="0" w:space="0" w:color="auto"/>
        <w:bottom w:val="none" w:sz="0" w:space="0" w:color="auto"/>
        <w:right w:val="none" w:sz="0" w:space="0" w:color="auto"/>
      </w:divBdr>
    </w:div>
    <w:div w:id="1090077067">
      <w:bodyDiv w:val="1"/>
      <w:marLeft w:val="0"/>
      <w:marRight w:val="0"/>
      <w:marTop w:val="0"/>
      <w:marBottom w:val="0"/>
      <w:divBdr>
        <w:top w:val="none" w:sz="0" w:space="0" w:color="auto"/>
        <w:left w:val="none" w:sz="0" w:space="0" w:color="auto"/>
        <w:bottom w:val="none" w:sz="0" w:space="0" w:color="auto"/>
        <w:right w:val="none" w:sz="0" w:space="0" w:color="auto"/>
      </w:divBdr>
    </w:div>
    <w:div w:id="1214195728">
      <w:bodyDiv w:val="1"/>
      <w:marLeft w:val="0"/>
      <w:marRight w:val="0"/>
      <w:marTop w:val="0"/>
      <w:marBottom w:val="0"/>
      <w:divBdr>
        <w:top w:val="none" w:sz="0" w:space="0" w:color="auto"/>
        <w:left w:val="none" w:sz="0" w:space="0" w:color="auto"/>
        <w:bottom w:val="none" w:sz="0" w:space="0" w:color="auto"/>
        <w:right w:val="none" w:sz="0" w:space="0" w:color="auto"/>
      </w:divBdr>
    </w:div>
    <w:div w:id="1365861187">
      <w:bodyDiv w:val="1"/>
      <w:marLeft w:val="0"/>
      <w:marRight w:val="0"/>
      <w:marTop w:val="0"/>
      <w:marBottom w:val="0"/>
      <w:divBdr>
        <w:top w:val="none" w:sz="0" w:space="0" w:color="auto"/>
        <w:left w:val="none" w:sz="0" w:space="0" w:color="auto"/>
        <w:bottom w:val="none" w:sz="0" w:space="0" w:color="auto"/>
        <w:right w:val="none" w:sz="0" w:space="0" w:color="auto"/>
      </w:divBdr>
    </w:div>
    <w:div w:id="1595085692">
      <w:bodyDiv w:val="1"/>
      <w:marLeft w:val="0"/>
      <w:marRight w:val="0"/>
      <w:marTop w:val="0"/>
      <w:marBottom w:val="0"/>
      <w:divBdr>
        <w:top w:val="none" w:sz="0" w:space="0" w:color="auto"/>
        <w:left w:val="none" w:sz="0" w:space="0" w:color="auto"/>
        <w:bottom w:val="none" w:sz="0" w:space="0" w:color="auto"/>
        <w:right w:val="none" w:sz="0" w:space="0" w:color="auto"/>
      </w:divBdr>
    </w:div>
    <w:div w:id="1756658836">
      <w:bodyDiv w:val="1"/>
      <w:marLeft w:val="0"/>
      <w:marRight w:val="0"/>
      <w:marTop w:val="0"/>
      <w:marBottom w:val="0"/>
      <w:divBdr>
        <w:top w:val="none" w:sz="0" w:space="0" w:color="auto"/>
        <w:left w:val="none" w:sz="0" w:space="0" w:color="auto"/>
        <w:bottom w:val="none" w:sz="0" w:space="0" w:color="auto"/>
        <w:right w:val="none" w:sz="0" w:space="0" w:color="auto"/>
      </w:divBdr>
    </w:div>
    <w:div w:id="1886334669">
      <w:bodyDiv w:val="1"/>
      <w:marLeft w:val="0"/>
      <w:marRight w:val="0"/>
      <w:marTop w:val="0"/>
      <w:marBottom w:val="0"/>
      <w:divBdr>
        <w:top w:val="none" w:sz="0" w:space="0" w:color="auto"/>
        <w:left w:val="none" w:sz="0" w:space="0" w:color="auto"/>
        <w:bottom w:val="none" w:sz="0" w:space="0" w:color="auto"/>
        <w:right w:val="none" w:sz="0" w:space="0" w:color="auto"/>
      </w:divBdr>
    </w:div>
    <w:div w:id="1957174827">
      <w:bodyDiv w:val="1"/>
      <w:marLeft w:val="0"/>
      <w:marRight w:val="0"/>
      <w:marTop w:val="0"/>
      <w:marBottom w:val="0"/>
      <w:divBdr>
        <w:top w:val="none" w:sz="0" w:space="0" w:color="auto"/>
        <w:left w:val="none" w:sz="0" w:space="0" w:color="auto"/>
        <w:bottom w:val="none" w:sz="0" w:space="0" w:color="auto"/>
        <w:right w:val="none" w:sz="0" w:space="0" w:color="auto"/>
      </w:divBdr>
    </w:div>
    <w:div w:id="1984003771">
      <w:bodyDiv w:val="1"/>
      <w:marLeft w:val="0"/>
      <w:marRight w:val="0"/>
      <w:marTop w:val="0"/>
      <w:marBottom w:val="0"/>
      <w:divBdr>
        <w:top w:val="none" w:sz="0" w:space="0" w:color="auto"/>
        <w:left w:val="none" w:sz="0" w:space="0" w:color="auto"/>
        <w:bottom w:val="none" w:sz="0" w:space="0" w:color="auto"/>
        <w:right w:val="none" w:sz="0" w:space="0" w:color="auto"/>
      </w:divBdr>
    </w:div>
    <w:div w:id="212245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dluhopis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dluhopisy.cz" TargetMode="External"/><Relationship Id="rId4" Type="http://schemas.openxmlformats.org/officeDocument/2006/relationships/settings" Target="settings.xml"/><Relationship Id="rId9" Type="http://schemas.openxmlformats.org/officeDocument/2006/relationships/hyperlink" Target="http://www.realityinvestingbond.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4A00-186A-4DF5-8300-11C6A1B3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12148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Tomaier;Tomáš Urban</dc:creator>
  <cp:lastModifiedBy>Ivo Spálený</cp:lastModifiedBy>
  <cp:revision>2</cp:revision>
  <dcterms:created xsi:type="dcterms:W3CDTF">2021-09-23T14:46:00Z</dcterms:created>
  <dcterms:modified xsi:type="dcterms:W3CDTF">2021-09-23T14:46:00Z</dcterms:modified>
</cp:coreProperties>
</file>